
<file path=[Content_Types].xml><?xml version="1.0" encoding="utf-8"?>
<Types xmlns="http://schemas.openxmlformats.org/package/2006/content-types">
  <Default Extension="xml" ContentType="application/xml"/>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7" w:leftChars="-270" w:firstLine="420"/>
        <w:rPr>
          <w:color w:val="FF0000"/>
        </w:rPr>
      </w:pPr>
      <w:r>
        <w:rPr>
          <w:color w:val="FF0000"/>
        </w:rPr>
        <mc:AlternateContent>
          <mc:Choice Requires="wps">
            <w:drawing>
              <wp:anchor distT="45720" distB="45720" distL="114300" distR="114300" simplePos="0" relativeHeight="251661312" behindDoc="0" locked="0" layoutInCell="1" allowOverlap="1">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1819275" cy="409575"/>
                        </a:xfrm>
                        <a:prstGeom prst="rect">
                          <a:avLst/>
                        </a:prstGeom>
                        <a:solidFill>
                          <a:srgbClr val="FFFFFF"/>
                        </a:solidFill>
                        <a:ln w="9525">
                          <a:solidFill>
                            <a:schemeClr val="bg1"/>
                          </a:solidFill>
                          <a:miter lim="800000"/>
                        </a:ln>
                      </wps:spPr>
                      <wps:txb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—2025</w:t>
                            </w:r>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238.85pt;margin-top:90.95pt;height:32.25pt;width:143.25pt;mso-wrap-distance-bottom:3.6pt;mso-wrap-distance-left:9pt;mso-wrap-distance-right:9pt;mso-wrap-distance-top:3.6pt;z-index:251661312;mso-width-relative:page;mso-height-relative:page;" fillcolor="#FFFFFF" filled="t" stroked="t" coordsize="21600,21600" o:gfxdata="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PjjpMtkAAAALAQAADwAAAAAAAAABACAAAAA4AAAA&#10;ZHJzL2Rvd25yZXYueG1sUEsBAhQAFAAAAAgAh07iQJB9k6UpAgAAPwQAAA4AAAAAAAAAAQAgAAAA&#10;PgEAAGRycy9lMm9Eb2MueG1sUEsFBgAAAAAGAAYAWQEAANkFAAAAAA==&#10;">
                <v:fill on="t" focussize="0,0"/>
                <v:stroke color="#FFFFFF [3212]" miterlimit="8" joinstyle="miter"/>
                <v:imagedata o:title=""/>
                <o:lock v:ext="edit" aspectratio="f"/>
                <v:textbo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—2025</w:t>
                      </w:r>
                    </w:p>
                  </w:txbxContent>
                </v:textbox>
                <w10:wrap type="square"/>
              </v:shape>
            </w:pict>
          </mc:Fallback>
        </mc:AlternateContent>
      </w:r>
      <w:r>
        <w:rPr>
          <w:color w:val="FF0000"/>
        </w:rPr>
        <w:drawing>
          <wp:anchor distT="0" distB="0" distL="114300" distR="114300" simplePos="0" relativeHeight="251659264" behindDoc="0" locked="0" layoutInCell="1" allowOverlap="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true" noChangeArrowheads="true"/>
                    </pic:cNvPicPr>
                  </pic:nvPicPr>
                  <pic:blipFill>
                    <a:blip r:embed="rId25" cstate="print">
                      <a:extLst>
                        <a:ext uri="{28A0092B-C50C-407E-A947-70E740481C1C}">
                          <a14:useLocalDpi xmlns:a14="http://schemas.microsoft.com/office/drawing/2010/main" val="false"/>
                        </a:ext>
                      </a:extLst>
                    </a:blip>
                    <a:srcRect/>
                    <a:stretch>
                      <a:fillRect/>
                    </a:stretch>
                  </pic:blipFill>
                  <pic:spPr>
                    <a:xfrm>
                      <a:off x="0" y="0"/>
                      <a:ext cx="1714500" cy="702310"/>
                    </a:xfrm>
                    <a:prstGeom prst="rect">
                      <a:avLst/>
                    </a:prstGeom>
                    <a:noFill/>
                  </pic:spPr>
                </pic:pic>
              </a:graphicData>
            </a:graphic>
          </wp:anchor>
        </w:drawing>
      </w:r>
      <w:r>
        <w:rPr>
          <w:color w:val="FF0000"/>
        </w:rPr>
        <mc:AlternateContent>
          <mc:Choice Requires="wps">
            <w:drawing>
              <wp:anchor distT="45720" distB="45720" distL="114300" distR="114300" simplePos="0" relativeHeight="251660288" behindDoc="0" locked="0" layoutInCell="1" allowOverlap="1">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7555865" cy="581025"/>
                        </a:xfrm>
                        <a:prstGeom prst="rect">
                          <a:avLst/>
                        </a:prstGeom>
                        <a:solidFill>
                          <a:srgbClr val="FFFFFF"/>
                        </a:solidFill>
                        <a:ln w="9525">
                          <a:solidFill>
                            <a:schemeClr val="bg1"/>
                          </a:solidFill>
                          <a:miter lim="800000"/>
                        </a:ln>
                      </wps:spPr>
                      <wps:txb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pPr>
                              <w:ind w:firstLine="420"/>
                            </w:pPr>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70.9pt;margin-top:36.9pt;height:45.75pt;width:594.95pt;mso-wrap-distance-bottom:3.6pt;mso-wrap-distance-left:9pt;mso-wrap-distance-right:9pt;mso-wrap-distance-top:3.6pt;z-index:251660288;mso-width-relative:page;mso-height-relative:page;" fillcolor="#FFFFFF" filled="t" stroked="t" coordsize="21600,21600" o:gfxdata="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CRZjl9oAAAAMAQAADwAAAAAAAAABACAAAAA4AAAAZHJz&#10;L2Rvd25yZXYueG1sUEsBAhQAFAAAAAgAh07iQC3BnoQlAgAAQAQAAA4AAAAAAAAAAQAgAAAAPwEA&#10;AGRycy9lMm9Eb2MueG1sUEsFBgAAAAAGAAYAWQEAANYFAAAAAA==&#10;">
                <v:fill on="t" focussize="0,0"/>
                <v:stroke color="#FFFFFF [3212]" miterlimit="8" joinstyle="miter"/>
                <v:imagedata o:title=""/>
                <o:lock v:ext="edit" aspectratio="f"/>
                <v:textbo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pPr>
                        <w:ind w:firstLine="420"/>
                      </w:pPr>
                    </w:p>
                  </w:txbxContent>
                </v:textbox>
                <w10:wrap type="square"/>
              </v:shape>
            </w:pict>
          </mc:Fallback>
        </mc:AlternateContent>
      </w:r>
      <w:r>
        <w:rPr>
          <w:rFonts w:hint="eastAsia"/>
          <w:color w:val="FF0000"/>
        </w:rPr>
        <w:drawing>
          <wp:anchor distT="0" distB="0" distL="114300" distR="114300" simplePos="0" relativeHeight="251667456" behindDoc="0" locked="0" layoutInCell="1" allowOverlap="1">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4613399" name="图片 184613399"/>
                    <pic:cNvPicPr>
                      <a:picLocks noChangeAspect="true" noChangeArrowheads="true"/>
                    </pic:cNvPicPr>
                  </pic:nvPicPr>
                  <pic:blipFill>
                    <a:blip r:embed="rId26">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r>
        <w:rPr>
          <w:rFonts w:hint="eastAsia"/>
          <w:color w:val="FF0000"/>
        </w:rPr>
        <w:drawing>
          <wp:anchor distT="0" distB="0" distL="114300" distR="114300" simplePos="0" relativeHeight="251666432" behindDoc="0" locked="0" layoutInCell="1" allowOverlap="1">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84797118" name="图片 1784797118"/>
                    <pic:cNvPicPr>
                      <a:picLocks noChangeAspect="true" noChangeArrowheads="true"/>
                    </pic:cNvPicPr>
                  </pic:nvPicPr>
                  <pic:blipFill>
                    <a:blip r:embed="rId26">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p>
    <w:p>
      <w:pPr>
        <w:autoSpaceDE w:val="0"/>
        <w:autoSpaceDN w:val="0"/>
        <w:adjustRightInd w:val="0"/>
        <w:jc w:val="left"/>
        <w:sectPr>
          <w:headerReference r:id="rId3" w:type="even"/>
          <w:pgSz w:w="11906" w:h="16838"/>
          <w:pgMar w:top="1361" w:right="1134" w:bottom="1361" w:left="1418" w:header="851" w:footer="992" w:gutter="0"/>
          <w:pgNumType w:fmt="upperRoman" w:start="1"/>
          <w:cols w:space="425" w:num="1"/>
          <w:docGrid w:linePitch="312" w:charSpace="0"/>
        </w:sectPr>
      </w:pPr>
      <w:r>
        <mc:AlternateContent>
          <mc:Choice Requires="wps">
            <w:drawing>
              <wp:anchor distT="45720" distB="45720" distL="114300" distR="114300" simplePos="0" relativeHeight="251662336" behindDoc="0" locked="0" layoutInCell="1" allowOverlap="1">
                <wp:simplePos x="0" y="0"/>
                <wp:positionH relativeFrom="column">
                  <wp:posOffset>-900430</wp:posOffset>
                </wp:positionH>
                <wp:positionV relativeFrom="paragraph">
                  <wp:posOffset>3840480</wp:posOffset>
                </wp:positionV>
                <wp:extent cx="7622540" cy="847725"/>
                <wp:effectExtent l="0" t="0" r="16510" b="28575"/>
                <wp:wrapSquare wrapText="bothSides"/>
                <wp:docPr id="293690094" name="文本框 293690094"/>
                <wp:cNvGraphicFramePr/>
                <a:graphic xmlns:a="http://schemas.openxmlformats.org/drawingml/2006/main">
                  <a:graphicData uri="http://schemas.microsoft.com/office/word/2010/wordprocessingShape">
                    <wps:wsp>
                      <wps:cNvSpPr txBox="true">
                        <a:spLocks noChangeArrowheads="true"/>
                      </wps:cNvSpPr>
                      <wps:spPr bwMode="auto">
                        <a:xfrm>
                          <a:off x="0" y="0"/>
                          <a:ext cx="7622540" cy="847725"/>
                        </a:xfrm>
                        <a:prstGeom prst="rect">
                          <a:avLst/>
                        </a:prstGeom>
                        <a:solidFill>
                          <a:srgbClr val="FFFFFF"/>
                        </a:solidFill>
                        <a:ln w="9525">
                          <a:solidFill>
                            <a:schemeClr val="bg1"/>
                          </a:solidFill>
                          <a:miter lim="800000"/>
                        </a:ln>
                      </wps:spPr>
                      <wps:txbx>
                        <w:txbxContent>
                          <w:p>
                            <w:pPr>
                              <w:jc w:val="center"/>
                              <w:rPr>
                                <w:rFonts w:hint="eastAsia" w:ascii="黑体" w:hAnsi="华文中宋" w:eastAsia="黑体"/>
                                <w:color w:val="000000" w:themeColor="text1"/>
                                <w:sz w:val="28"/>
                                <w:szCs w:val="28"/>
                                <w14:textFill>
                                  <w14:solidFill>
                                    <w14:schemeClr w14:val="tx1"/>
                                  </w14:solidFill>
                                </w14:textFill>
                              </w:rPr>
                            </w:pPr>
                            <w:r>
                              <w:rPr>
                                <w:rFonts w:hint="eastAsia" w:ascii="黑体" w:hAnsi="华文中宋" w:eastAsia="黑体"/>
                                <w:color w:val="000000" w:themeColor="text1"/>
                                <w:sz w:val="28"/>
                                <w:szCs w:val="28"/>
                                <w14:textFill>
                                  <w14:solidFill>
                                    <w14:schemeClr w14:val="tx1"/>
                                  </w14:solidFill>
                                </w14:textFill>
                              </w:rPr>
                              <w:t>Greenhouse gases</w:t>
                            </w:r>
                            <w:r>
                              <w:rPr>
                                <w:rFonts w:ascii="Times New Roman" w:hAnsi="Times New Roman" w:eastAsia="黑体" w:cs="Times New Roman"/>
                                <w:color w:val="000000" w:themeColor="text1"/>
                                <w:sz w:val="28"/>
                                <w:szCs w:val="28"/>
                                <w14:textFill>
                                  <w14:solidFill>
                                    <w14:schemeClr w14:val="tx1"/>
                                  </w14:solidFill>
                                </w14:textFill>
                              </w:rPr>
                              <w:t>——</w:t>
                            </w:r>
                            <w:r>
                              <w:rPr>
                                <w:rFonts w:hint="eastAsia" w:ascii="黑体" w:hAnsi="华文中宋" w:eastAsia="黑体"/>
                                <w:color w:val="000000" w:themeColor="text1"/>
                                <w:sz w:val="28"/>
                                <w:szCs w:val="28"/>
                                <w14:textFill>
                                  <w14:solidFill>
                                    <w14:schemeClr w14:val="tx1"/>
                                  </w14:solidFill>
                                </w14:textFill>
                              </w:rPr>
                              <w:t>Quantification methods and requirements of</w:t>
                            </w:r>
                            <w:r>
                              <w:rPr>
                                <w:rFonts w:ascii="黑体" w:hAnsi="华文中宋" w:eastAsia="黑体"/>
                                <w:color w:val="000000" w:themeColor="text1"/>
                                <w:sz w:val="28"/>
                                <w:szCs w:val="28"/>
                                <w14:textFill>
                                  <w14:solidFill>
                                    <w14:schemeClr w14:val="tx1"/>
                                  </w14:solidFill>
                                </w14:textFill>
                              </w:rPr>
                              <w:t xml:space="preserve"> </w:t>
                            </w:r>
                          </w:p>
                          <w:p>
                            <w:pPr>
                              <w:jc w:val="center"/>
                              <w:rPr>
                                <w:rFonts w:hint="eastAsia" w:ascii="黑体" w:hAnsi="华文中宋" w:eastAsia="黑体"/>
                                <w:color w:val="000000" w:themeColor="text1"/>
                                <w:sz w:val="28"/>
                                <w:szCs w:val="28"/>
                                <w14:textFill>
                                  <w14:solidFill>
                                    <w14:schemeClr w14:val="tx1"/>
                                  </w14:solidFill>
                                </w14:textFill>
                              </w:rPr>
                            </w:pPr>
                            <w:r>
                              <w:rPr>
                                <w:rFonts w:hint="eastAsia" w:ascii="黑体" w:hAnsi="华文中宋" w:eastAsia="黑体"/>
                                <w:color w:val="000000" w:themeColor="text1"/>
                                <w:sz w:val="28"/>
                                <w:szCs w:val="28"/>
                                <w14:textFill>
                                  <w14:solidFill>
                                    <w14:schemeClr w14:val="tx1"/>
                                  </w14:solidFill>
                                </w14:textFill>
                              </w:rPr>
                              <w:t>carbon footprint of products</w:t>
                            </w:r>
                            <w:r>
                              <w:rPr>
                                <w:rFonts w:ascii="Times New Roman" w:hAnsi="Times New Roman" w:eastAsia="黑体" w:cs="Times New Roman"/>
                                <w:color w:val="000000" w:themeColor="text1"/>
                                <w:sz w:val="28"/>
                                <w:szCs w:val="28"/>
                                <w14:textFill>
                                  <w14:solidFill>
                                    <w14:schemeClr w14:val="tx1"/>
                                  </w14:solidFill>
                                </w14:textFill>
                              </w:rPr>
                              <w:t>——</w:t>
                            </w:r>
                            <w:r>
                              <w:rPr>
                                <w:rFonts w:hint="eastAsia" w:ascii="黑体" w:hAnsi="华文中宋" w:eastAsia="黑体"/>
                                <w:color w:val="000000" w:themeColor="text1"/>
                                <w:sz w:val="28"/>
                                <w:szCs w:val="28"/>
                                <w14:textFill>
                                  <w14:solidFill>
                                    <w14:schemeClr w14:val="tx1"/>
                                  </w14:solidFill>
                                </w14:textFill>
                              </w:rPr>
                              <w:t xml:space="preserve">Snow </w:t>
                            </w:r>
                            <w:r>
                              <w:rPr>
                                <w:rFonts w:ascii="黑体" w:hAnsi="华文中宋" w:eastAsia="黑体"/>
                                <w:color w:val="000000" w:themeColor="text1"/>
                                <w:sz w:val="28"/>
                                <w:szCs w:val="28"/>
                                <w14:textFill>
                                  <w14:solidFill>
                                    <w14:schemeClr w14:val="tx1"/>
                                  </w14:solidFill>
                                </w14:textFill>
                              </w:rPr>
                              <w:t>t</w:t>
                            </w:r>
                            <w:r>
                              <w:rPr>
                                <w:rFonts w:hint="eastAsia" w:ascii="黑体" w:hAnsi="华文中宋" w:eastAsia="黑体"/>
                                <w:color w:val="000000" w:themeColor="text1"/>
                                <w:sz w:val="28"/>
                                <w:szCs w:val="28"/>
                                <w14:textFill>
                                  <w14:solidFill>
                                    <w14:schemeClr w14:val="tx1"/>
                                  </w14:solidFill>
                                </w14:textFill>
                              </w:rPr>
                              <w:t>yres</w:t>
                            </w:r>
                          </w:p>
                          <w:p>
                            <w:pPr>
                              <w:jc w:val="center"/>
                              <w:rPr>
                                <w:rFonts w:hint="eastAsia" w:ascii="黑体" w:hAnsi="华文中宋" w:eastAsia="黑体"/>
                                <w:color w:val="000000" w:themeColor="text1"/>
                                <w:sz w:val="28"/>
                                <w:szCs w:val="28"/>
                                <w:lang w:eastAsia="zh-CN"/>
                                <w14:textFill>
                                  <w14:solidFill>
                                    <w14:schemeClr w14:val="tx1"/>
                                  </w14:solidFill>
                                </w14:textFill>
                              </w:rPr>
                            </w:pPr>
                            <w:r>
                              <w:rPr>
                                <w:rFonts w:hint="eastAsia" w:ascii="黑体" w:hAnsi="华文中宋" w:eastAsia="黑体"/>
                                <w:color w:val="000000" w:themeColor="text1"/>
                                <w:sz w:val="28"/>
                                <w:szCs w:val="28"/>
                                <w:lang w:eastAsia="zh-CN"/>
                                <w14:textFill>
                                  <w14:solidFill>
                                    <w14:schemeClr w14:val="tx1"/>
                                  </w14:solidFill>
                                </w14:textFill>
                              </w:rPr>
                              <w:t>（报批稿）</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302.4pt;height:66.75pt;width:600.2pt;mso-wrap-distance-bottom:3.6pt;mso-wrap-distance-left:9pt;mso-wrap-distance-right:9pt;mso-wrap-distance-top:3.6pt;z-index:251662336;mso-width-relative:page;mso-height-relative:page;" fillcolor="#FFFFFF" filled="t" stroked="t" coordsize="21600,21600" o:gfxdata="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5jqFk9sAAAANAQAADwAAAAAAAAABACAAAAA4AAAAZHJz&#10;L2Rvd25yZXYueG1sUEsBAhQAFAAAAAgAh07iQKPZW3gkAgAARwQAAA4AAAAAAAAAAQAgAAAAQAEA&#10;AGRycy9lMm9Eb2MueG1sUEsFBgAAAAAGAAYAWQEAANYFAAAAAA==&#10;">
                <v:fill on="t" focussize="0,0"/>
                <v:stroke color="#FFFFFF [3212]" miterlimit="8" joinstyle="miter"/>
                <v:imagedata o:title=""/>
                <o:lock v:ext="edit" aspectratio="f"/>
                <v:textbox>
                  <w:txbxContent>
                    <w:p>
                      <w:pPr>
                        <w:jc w:val="center"/>
                        <w:rPr>
                          <w:rFonts w:hint="eastAsia" w:ascii="黑体" w:hAnsi="华文中宋" w:eastAsia="黑体"/>
                          <w:color w:val="000000" w:themeColor="text1"/>
                          <w:sz w:val="28"/>
                          <w:szCs w:val="28"/>
                          <w14:textFill>
                            <w14:solidFill>
                              <w14:schemeClr w14:val="tx1"/>
                            </w14:solidFill>
                          </w14:textFill>
                        </w:rPr>
                      </w:pPr>
                      <w:r>
                        <w:rPr>
                          <w:rFonts w:hint="eastAsia" w:ascii="黑体" w:hAnsi="华文中宋" w:eastAsia="黑体"/>
                          <w:color w:val="000000" w:themeColor="text1"/>
                          <w:sz w:val="28"/>
                          <w:szCs w:val="28"/>
                          <w14:textFill>
                            <w14:solidFill>
                              <w14:schemeClr w14:val="tx1"/>
                            </w14:solidFill>
                          </w14:textFill>
                        </w:rPr>
                        <w:t>Greenhouse gases</w:t>
                      </w:r>
                      <w:r>
                        <w:rPr>
                          <w:rFonts w:ascii="Times New Roman" w:hAnsi="Times New Roman" w:eastAsia="黑体" w:cs="Times New Roman"/>
                          <w:color w:val="000000" w:themeColor="text1"/>
                          <w:sz w:val="28"/>
                          <w:szCs w:val="28"/>
                          <w14:textFill>
                            <w14:solidFill>
                              <w14:schemeClr w14:val="tx1"/>
                            </w14:solidFill>
                          </w14:textFill>
                        </w:rPr>
                        <w:t>——</w:t>
                      </w:r>
                      <w:r>
                        <w:rPr>
                          <w:rFonts w:hint="eastAsia" w:ascii="黑体" w:hAnsi="华文中宋" w:eastAsia="黑体"/>
                          <w:color w:val="000000" w:themeColor="text1"/>
                          <w:sz w:val="28"/>
                          <w:szCs w:val="28"/>
                          <w14:textFill>
                            <w14:solidFill>
                              <w14:schemeClr w14:val="tx1"/>
                            </w14:solidFill>
                          </w14:textFill>
                        </w:rPr>
                        <w:t>Quantification methods and requirements of</w:t>
                      </w:r>
                      <w:r>
                        <w:rPr>
                          <w:rFonts w:ascii="黑体" w:hAnsi="华文中宋" w:eastAsia="黑体"/>
                          <w:color w:val="000000" w:themeColor="text1"/>
                          <w:sz w:val="28"/>
                          <w:szCs w:val="28"/>
                          <w14:textFill>
                            <w14:solidFill>
                              <w14:schemeClr w14:val="tx1"/>
                            </w14:solidFill>
                          </w14:textFill>
                        </w:rPr>
                        <w:t xml:space="preserve"> </w:t>
                      </w:r>
                    </w:p>
                    <w:p>
                      <w:pPr>
                        <w:jc w:val="center"/>
                        <w:rPr>
                          <w:rFonts w:hint="eastAsia" w:ascii="黑体" w:hAnsi="华文中宋" w:eastAsia="黑体"/>
                          <w:color w:val="000000" w:themeColor="text1"/>
                          <w:sz w:val="28"/>
                          <w:szCs w:val="28"/>
                          <w14:textFill>
                            <w14:solidFill>
                              <w14:schemeClr w14:val="tx1"/>
                            </w14:solidFill>
                          </w14:textFill>
                        </w:rPr>
                      </w:pPr>
                      <w:r>
                        <w:rPr>
                          <w:rFonts w:hint="eastAsia" w:ascii="黑体" w:hAnsi="华文中宋" w:eastAsia="黑体"/>
                          <w:color w:val="000000" w:themeColor="text1"/>
                          <w:sz w:val="28"/>
                          <w:szCs w:val="28"/>
                          <w14:textFill>
                            <w14:solidFill>
                              <w14:schemeClr w14:val="tx1"/>
                            </w14:solidFill>
                          </w14:textFill>
                        </w:rPr>
                        <w:t>carbon footprint of products</w:t>
                      </w:r>
                      <w:r>
                        <w:rPr>
                          <w:rFonts w:ascii="Times New Roman" w:hAnsi="Times New Roman" w:eastAsia="黑体" w:cs="Times New Roman"/>
                          <w:color w:val="000000" w:themeColor="text1"/>
                          <w:sz w:val="28"/>
                          <w:szCs w:val="28"/>
                          <w14:textFill>
                            <w14:solidFill>
                              <w14:schemeClr w14:val="tx1"/>
                            </w14:solidFill>
                          </w14:textFill>
                        </w:rPr>
                        <w:t>——</w:t>
                      </w:r>
                      <w:r>
                        <w:rPr>
                          <w:rFonts w:hint="eastAsia" w:ascii="黑体" w:hAnsi="华文中宋" w:eastAsia="黑体"/>
                          <w:color w:val="000000" w:themeColor="text1"/>
                          <w:sz w:val="28"/>
                          <w:szCs w:val="28"/>
                          <w14:textFill>
                            <w14:solidFill>
                              <w14:schemeClr w14:val="tx1"/>
                            </w14:solidFill>
                          </w14:textFill>
                        </w:rPr>
                        <w:t xml:space="preserve">Snow </w:t>
                      </w:r>
                      <w:r>
                        <w:rPr>
                          <w:rFonts w:ascii="黑体" w:hAnsi="华文中宋" w:eastAsia="黑体"/>
                          <w:color w:val="000000" w:themeColor="text1"/>
                          <w:sz w:val="28"/>
                          <w:szCs w:val="28"/>
                          <w14:textFill>
                            <w14:solidFill>
                              <w14:schemeClr w14:val="tx1"/>
                            </w14:solidFill>
                          </w14:textFill>
                        </w:rPr>
                        <w:t>t</w:t>
                      </w:r>
                      <w:r>
                        <w:rPr>
                          <w:rFonts w:hint="eastAsia" w:ascii="黑体" w:hAnsi="华文中宋" w:eastAsia="黑体"/>
                          <w:color w:val="000000" w:themeColor="text1"/>
                          <w:sz w:val="28"/>
                          <w:szCs w:val="28"/>
                          <w14:textFill>
                            <w14:solidFill>
                              <w14:schemeClr w14:val="tx1"/>
                            </w14:solidFill>
                          </w14:textFill>
                        </w:rPr>
                        <w:t>yres</w:t>
                      </w:r>
                    </w:p>
                    <w:p>
                      <w:pPr>
                        <w:jc w:val="center"/>
                        <w:rPr>
                          <w:rFonts w:hint="eastAsia" w:ascii="黑体" w:hAnsi="华文中宋" w:eastAsia="黑体"/>
                          <w:color w:val="000000" w:themeColor="text1"/>
                          <w:sz w:val="28"/>
                          <w:szCs w:val="28"/>
                          <w:lang w:eastAsia="zh-CN"/>
                          <w14:textFill>
                            <w14:solidFill>
                              <w14:schemeClr w14:val="tx1"/>
                            </w14:solidFill>
                          </w14:textFill>
                        </w:rPr>
                      </w:pPr>
                      <w:r>
                        <w:rPr>
                          <w:rFonts w:hint="eastAsia" w:ascii="黑体" w:hAnsi="华文中宋" w:eastAsia="黑体"/>
                          <w:color w:val="000000" w:themeColor="text1"/>
                          <w:sz w:val="28"/>
                          <w:szCs w:val="28"/>
                          <w:lang w:eastAsia="zh-CN"/>
                          <w14:textFill>
                            <w14:solidFill>
                              <w14:schemeClr w14:val="tx1"/>
                            </w14:solidFill>
                          </w14:textFill>
                        </w:rPr>
                        <w:t>（报批稿）</w:t>
                      </w:r>
                    </w:p>
                  </w:txbxContent>
                </v:textbox>
                <w10:wrap type="square"/>
              </v:shape>
            </w:pict>
          </mc:Fallback>
        </mc:AlternateContent>
      </w:r>
      <w:bookmarkStart w:id="114" w:name="_GoBack"/>
      <w:bookmarkEnd w:id="114"/>
      <w:r>
        <mc:AlternateContent>
          <mc:Choice Requires="wps">
            <w:drawing>
              <wp:anchor distT="45720" distB="45720" distL="114300" distR="114300" simplePos="0" relativeHeight="251663360" behindDoc="0" locked="0" layoutInCell="1" allowOverlap="1">
                <wp:simplePos x="0" y="0"/>
                <wp:positionH relativeFrom="column">
                  <wp:posOffset>-900430</wp:posOffset>
                </wp:positionH>
                <wp:positionV relativeFrom="paragraph">
                  <wp:posOffset>2897505</wp:posOffset>
                </wp:positionV>
                <wp:extent cx="7593965" cy="942975"/>
                <wp:effectExtent l="0" t="0" r="26035" b="28575"/>
                <wp:wrapSquare wrapText="bothSides"/>
                <wp:docPr id="2027879059" name="文本框 2027879059"/>
                <wp:cNvGraphicFramePr/>
                <a:graphic xmlns:a="http://schemas.openxmlformats.org/drawingml/2006/main">
                  <a:graphicData uri="http://schemas.microsoft.com/office/word/2010/wordprocessingShape">
                    <wps:wsp>
                      <wps:cNvSpPr txBox="true">
                        <a:spLocks noChangeArrowheads="true"/>
                      </wps:cNvSpPr>
                      <wps:spPr bwMode="auto">
                        <a:xfrm>
                          <a:off x="0" y="0"/>
                          <a:ext cx="7593965" cy="942975"/>
                        </a:xfrm>
                        <a:prstGeom prst="rect">
                          <a:avLst/>
                        </a:prstGeom>
                        <a:solidFill>
                          <a:srgbClr val="FFFFFF"/>
                        </a:solidFill>
                        <a:ln w="9525">
                          <a:solidFill>
                            <a:schemeClr val="bg1"/>
                          </a:solidFill>
                          <a:miter lim="800000"/>
                        </a:ln>
                      </wps:spPr>
                      <wps:txbx>
                        <w:txbxContent>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温室气体产品碳足迹量化方法与要求</w:t>
                            </w: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 xml:space="preserve"> 雪地轮胎</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228.15pt;height:74.25pt;width:597.95pt;mso-wrap-distance-bottom:3.6pt;mso-wrap-distance-left:9pt;mso-wrap-distance-right:9pt;mso-wrap-distance-top:3.6pt;z-index:251663360;mso-width-relative:page;mso-height-relative:page;" fillcolor="#FFFFFF" filled="t" stroked="t" coordsize="21600,21600" o:gfxdata="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AaNclo2wAAAA0BAAAPAAAAAAAAAAEAIAAA&#10;ADgAAABkcnMvZG93bnJldi54bWxQSwECFAAUAAAACACHTuJAIEkJtiwCAABJBAAADgAAAAAAAAAB&#10;ACAAAABAAQAAZHJzL2Uyb0RvYy54bWxQSwUGAAAAAAYABgBZAQAA3gUAAAAA&#10;">
                <v:fill on="t" focussize="0,0"/>
                <v:stroke color="#FFFFFF [3212]" miterlimit="8" joinstyle="miter"/>
                <v:imagedata o:title=""/>
                <o:lock v:ext="edit" aspectratio="f"/>
                <v:textbox>
                  <w:txbxContent>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温室气体产品碳足迹量化方法与要求</w:t>
                      </w: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 xml:space="preserve"> 雪地轮胎</w:t>
                      </w:r>
                    </w:p>
                  </w:txbxContent>
                </v:textbox>
                <w10:wrap type="square"/>
              </v:shape>
            </w:pict>
          </mc:Fallback>
        </mc:AlternateContent>
      </w:r>
      <w:r>
        <mc:AlternateContent>
          <mc:Choice Requires="wps">
            <w:drawing>
              <wp:anchor distT="45720" distB="45720" distL="114300" distR="114300" simplePos="0" relativeHeight="251665408" behindDoc="1" locked="0" layoutInCell="1" allowOverlap="1">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 xmlns:a="http://schemas.openxmlformats.org/drawingml/2006/main">
                  <a:graphicData uri="http://schemas.microsoft.com/office/word/2010/wordprocessingShape">
                    <wps:wsp>
                      <wps:cNvSpPr txBox="true">
                        <a:spLocks noChangeArrowheads="true"/>
                      </wps:cNvSpPr>
                      <wps:spPr bwMode="auto">
                        <a:xfrm>
                          <a:off x="0" y="0"/>
                          <a:ext cx="7555865" cy="466725"/>
                        </a:xfrm>
                        <a:prstGeom prst="rect">
                          <a:avLst/>
                        </a:prstGeom>
                        <a:solidFill>
                          <a:srgbClr val="FFFFFF"/>
                        </a:solidFill>
                        <a:ln w="9525">
                          <a:solidFill>
                            <a:schemeClr val="bg1"/>
                          </a:solidFill>
                          <a:miter lim="800000"/>
                        </a:ln>
                      </wps:spPr>
                      <wps:txb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67.9pt;margin-top:661.65pt;height:36.75pt;width:594.95pt;z-index:-251651072;mso-width-relative:page;mso-height-relative:page;" fillcolor="#FFFFFF" filled="t" stroked="t" coordsize="21600,21600" o:gfxdata="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&#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D0ZrFz2wAAAA8BAAAPAAAAAAAAAAEAIAAAADgAAABk&#10;cnMvZG93bnJldi54bWxQSwECFAAUAAAACACHTuJAj4wMmyYCAABHBAAADgAAAAAAAAABACAAAABA&#10;AQAAZHJzL2Uyb0RvYy54bWxQSwUGAAAAAAYABgBZAQAA2AUAAAAA&#10;">
                <v:fill on="t" focussize="0,0"/>
                <v:stroke color="#FFFFFF [3212]" miterlimit="8" joinstyle="miter"/>
                <v:imagedata o:title=""/>
                <o:lock v:ext="edit" aspectratio="f"/>
                <v:textbo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v:textbox>
              </v:shape>
            </w:pict>
          </mc:Fallback>
        </mc:AlternateContent>
      </w:r>
      <w:r>
        <mc:AlternateContent>
          <mc:Choice Requires="wps">
            <w:drawing>
              <wp:anchor distT="45720" distB="45720" distL="114300" distR="114300" simplePos="0" relativeHeight="251664384" behindDoc="0" locked="0" layoutInCell="1" allowOverlap="1">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 xmlns:a="http://schemas.openxmlformats.org/drawingml/2006/main">
                  <a:graphicData uri="http://schemas.microsoft.com/office/word/2010/wordprocessingShape">
                    <wps:wsp>
                      <wps:cNvSpPr txBox="true">
                        <a:spLocks noChangeArrowheads="true"/>
                      </wps:cNvSpPr>
                      <wps:spPr bwMode="auto">
                        <a:xfrm>
                          <a:off x="0" y="0"/>
                          <a:ext cx="7504430" cy="304800"/>
                        </a:xfrm>
                        <a:prstGeom prst="rect">
                          <a:avLst/>
                        </a:prstGeom>
                        <a:solidFill>
                          <a:srgbClr val="FFFFFF"/>
                        </a:solidFill>
                        <a:ln w="9525">
                          <a:solidFill>
                            <a:schemeClr val="bg1"/>
                          </a:solidFill>
                          <a:miter lim="800000"/>
                        </a:ln>
                      </wps:spPr>
                      <wps:txbx>
                        <w:txbxContent>
                          <w:p>
                            <w:pPr>
                              <w:jc w:val="center"/>
                              <w:rPr>
                                <w:rFonts w:ascii="黑体" w:hAnsi="黑体" w:eastAsia="黑体"/>
                                <w:sz w:val="28"/>
                                <w:szCs w:val="28"/>
                              </w:rPr>
                            </w:pPr>
                            <w:r>
                              <w:rPr>
                                <w:rFonts w:hint="eastAsia" w:ascii="黑体" w:hAnsi="黑体" w:eastAsia="黑体"/>
                                <w:sz w:val="28"/>
                                <w:szCs w:val="28"/>
                              </w:rPr>
                              <w:t>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620.4pt;height:24pt;width:590.9pt;mso-wrap-distance-bottom:3.6pt;mso-wrap-distance-left:9pt;mso-wrap-distance-right:9pt;mso-wrap-distance-top:3.6pt;z-index:251664384;mso-width-relative:page;mso-height-relative:page;" fillcolor="#FFFFFF" filled="t" stroked="t" coordsize="21600,21600" o:gfxdata="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NtyDRNoAAAAPAQAADwAAAAAAAAABACAA&#10;AAA4AAAAZHJzL2Rvd25yZXYueG1sUEsBAhQAFAAAAAgAh07iQNBcDfcuAgAASQQAAA4AAAAAAAAA&#10;AQAgAAAAPwEAAGRycy9lMm9Eb2MueG1sUEsFBgAAAAAGAAYAWQEAAN8FAAAAAA==&#10;">
                <v:fill on="t" focussize="0,0"/>
                <v:stroke color="#FFFFFF [3212]" miterlimit="8" joinstyle="miter"/>
                <v:imagedata o:title=""/>
                <o:lock v:ext="edit" aspectratio="f"/>
                <v:textbox>
                  <w:txbxContent>
                    <w:p>
                      <w:pPr>
                        <w:jc w:val="center"/>
                        <w:rPr>
                          <w:rFonts w:ascii="黑体" w:hAnsi="黑体" w:eastAsia="黑体"/>
                          <w:sz w:val="28"/>
                          <w:szCs w:val="28"/>
                        </w:rPr>
                      </w:pPr>
                      <w:r>
                        <w:rPr>
                          <w:rFonts w:hint="eastAsia" w:ascii="黑体" w:hAnsi="黑体" w:eastAsia="黑体"/>
                          <w:sz w:val="28"/>
                          <w:szCs w:val="28"/>
                        </w:rPr>
                        <w:t>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v:textbox>
                <w10:wrap type="square"/>
              </v:shape>
            </w:pict>
          </mc:Fallback>
        </mc:AlternateContent>
      </w:r>
    </w:p>
    <w:p>
      <w:pPr>
        <w:autoSpaceDE w:val="0"/>
        <w:autoSpaceDN w:val="0"/>
        <w:adjustRightInd w:val="0"/>
        <w:jc w:val="left"/>
      </w:pPr>
    </w:p>
    <w:p>
      <w:pPr>
        <w:autoSpaceDE w:val="0"/>
        <w:autoSpaceDN w:val="0"/>
        <w:adjustRightInd w:val="0"/>
        <w:ind w:firstLine="2200" w:firstLineChars="500"/>
        <w:jc w:val="left"/>
        <w:rPr>
          <w:rFonts w:ascii="黑体" w:eastAsia="黑体" w:cs="黑体"/>
          <w:kern w:val="0"/>
          <w:sz w:val="44"/>
          <w:szCs w:val="44"/>
        </w:rPr>
      </w:pPr>
      <w:r>
        <w:rPr>
          <w:rFonts w:hint="eastAsia" w:ascii="黑体" w:eastAsia="黑体" w:cs="黑体"/>
          <w:kern w:val="0"/>
          <w:sz w:val="44"/>
          <w:szCs w:val="44"/>
        </w:rPr>
        <w:t xml:space="preserve">温室气体 </w:t>
      </w:r>
    </w:p>
    <w:p>
      <w:pPr>
        <w:autoSpaceDE w:val="0"/>
        <w:autoSpaceDN w:val="0"/>
        <w:adjustRightInd w:val="0"/>
        <w:ind w:firstLine="440" w:firstLineChars="100"/>
        <w:jc w:val="left"/>
        <w:rPr>
          <w:rFonts w:ascii="黑体" w:eastAsia="黑体" w:cs="黑体"/>
          <w:kern w:val="0"/>
          <w:sz w:val="44"/>
          <w:szCs w:val="44"/>
        </w:rPr>
      </w:pPr>
      <w:r>
        <w:rPr>
          <w:rFonts w:hint="eastAsia" w:ascii="黑体" w:eastAsia="黑体" w:cs="黑体"/>
          <w:kern w:val="0"/>
          <w:sz w:val="44"/>
          <w:szCs w:val="44"/>
        </w:rPr>
        <w:t>产品碳足迹量化方法与要求</w:t>
      </w:r>
    </w:p>
    <w:p>
      <w:pPr>
        <w:autoSpaceDE w:val="0"/>
        <w:autoSpaceDN w:val="0"/>
        <w:adjustRightInd w:val="0"/>
        <w:ind w:firstLine="2200" w:firstLineChars="500"/>
        <w:jc w:val="left"/>
        <w:rPr>
          <w:rFonts w:ascii="黑体" w:eastAsia="黑体" w:cs="黑体"/>
          <w:kern w:val="0"/>
          <w:sz w:val="44"/>
          <w:szCs w:val="44"/>
        </w:rPr>
      </w:pPr>
      <w:r>
        <w:rPr>
          <w:rFonts w:hint="eastAsia" w:ascii="黑体" w:eastAsia="黑体" w:cs="黑体"/>
          <w:kern w:val="0"/>
          <w:sz w:val="44"/>
          <w:szCs w:val="44"/>
        </w:rPr>
        <mc:AlternateContent>
          <mc:Choice Requires="wps">
            <w:drawing>
              <wp:anchor distT="0" distB="0" distL="114300" distR="114300" simplePos="0" relativeHeight="251669504" behindDoc="0" locked="0" layoutInCell="1" allowOverlap="1">
                <wp:simplePos x="0" y="0"/>
                <wp:positionH relativeFrom="column">
                  <wp:posOffset>4023360</wp:posOffset>
                </wp:positionH>
                <wp:positionV relativeFrom="paragraph">
                  <wp:posOffset>96520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535"/>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16.8pt;margin-top:7.6pt;height:57.05pt;width:150.75pt;z-index:251669504;v-text-anchor:middle;mso-width-relative:page;mso-height-relative:page;" filled="f" stroked="t" coordsize="21600,21600" o:gfxdata="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FgAA&#10;AGRycy9QSwECFAAUAAAACACHTuJAjzYv39YAAAAKAQAADwAAAAAAAAABACAAAAA4AAAAZHJzL2Rv&#10;d25yZXYueG1sUEsBAhQAFAAAAAgAh07iQI6L9vlfAgAAogQAAA4AAAAAAAAAAQAgAAAAOwEAAGRy&#10;cy9lMm9Eb2MueG1sUEsFBgAAAAAGAAYAWQEAAAwGAAAAAA==&#10;">
                <v:fill on="f" focussize="0,0"/>
                <v:stroke weight="2pt" color="#000000 [3213]" opacity="49152f" miterlimit="8" joinstyle="bevel" dashstyle="1 1" endcap="round"/>
                <v:imagedata o:title=""/>
                <o:lock v:ext="edit" aspectratio="f"/>
              </v:rect>
            </w:pict>
          </mc:Fallback>
        </mc:AlternateContent>
      </w:r>
      <w:r>
        <w:rPr>
          <w:rFonts w:hint="eastAsia" w:ascii="黑体" w:eastAsia="黑体" w:cs="黑体"/>
          <w:kern w:val="0"/>
          <w:sz w:val="44"/>
          <w:szCs w:val="44"/>
        </w:rPr>
        <w:t>雪地轮胎</w:t>
      </w:r>
    </w:p>
    <w:p>
      <w:pPr>
        <w:ind w:firstLine="280" w:firstLineChars="100"/>
        <w:jc w:val="left"/>
        <w:rPr>
          <w:rFonts w:ascii="黑体" w:hAnsi="黑体" w:eastAsia="黑体" w:cs="Arial"/>
          <w:sz w:val="28"/>
          <w:szCs w:val="28"/>
        </w:rPr>
      </w:pPr>
      <w:r>
        <w:rPr>
          <w:rFonts w:hint="eastAsia" w:ascii="黑体" w:hAnsi="黑体" w:eastAsia="黑体" w:cs="Arial"/>
          <w:sz w:val="28"/>
          <w:szCs w:val="28"/>
        </w:rPr>
        <w:t>Greenhouse gas</w:t>
      </w:r>
      <w:r>
        <w:rPr>
          <w:rFonts w:ascii="黑体" w:hAnsi="黑体" w:eastAsia="黑体" w:cs="Arial"/>
          <w:sz w:val="28"/>
          <w:szCs w:val="28"/>
        </w:rPr>
        <w:t>es</w:t>
      </w:r>
      <w:r>
        <w:rPr>
          <w:rFonts w:ascii="Times New Roman" w:hAnsi="Times New Roman" w:eastAsia="黑体" w:cs="Times New Roman"/>
          <w:sz w:val="28"/>
          <w:szCs w:val="28"/>
        </w:rPr>
        <w:t>——</w:t>
      </w:r>
      <w:r>
        <w:rPr>
          <w:rFonts w:hint="eastAsia" w:ascii="黑体" w:hAnsi="黑体" w:eastAsia="黑体" w:cs="Arial"/>
          <w:sz w:val="28"/>
          <w:szCs w:val="28"/>
        </w:rPr>
        <w:t>Quantification</w:t>
      </w:r>
      <w:r>
        <w:rPr>
          <w:rFonts w:ascii="黑体" w:hAnsi="黑体" w:eastAsia="黑体" w:cs="Arial"/>
          <w:sz w:val="28"/>
          <w:szCs w:val="28"/>
        </w:rPr>
        <w:t xml:space="preserve"> m</w:t>
      </w:r>
      <w:r>
        <w:rPr>
          <w:rFonts w:hint="eastAsia" w:ascii="黑体" w:hAnsi="黑体" w:eastAsia="黑体" w:cs="Arial"/>
          <w:sz w:val="28"/>
          <w:szCs w:val="28"/>
        </w:rPr>
        <w:t>ethods</w:t>
      </w:r>
      <w:r>
        <w:rPr>
          <w:rFonts w:hint="eastAsia" w:ascii="黑体" w:eastAsia="黑体"/>
          <w:sz w:val="28"/>
          <w:szCs w:val="28"/>
        </w:rPr>
        <w:t xml:space="preserve">   JJF（吉）</w:t>
      </w:r>
      <w:bookmarkStart w:id="0" w:name="_Hlk139445851"/>
      <w:r>
        <w:rPr>
          <w:rFonts w:ascii="黑体" w:hAnsi="黑体" w:eastAsia="黑体"/>
          <w:sz w:val="28"/>
          <w:szCs w:val="28"/>
        </w:rPr>
        <w:t>XX</w:t>
      </w:r>
      <w:bookmarkEnd w:id="0"/>
      <w:r>
        <w:rPr>
          <w:rFonts w:ascii="黑体" w:hAnsi="黑体" w:eastAsia="黑体"/>
          <w:sz w:val="28"/>
          <w:szCs w:val="28"/>
        </w:rPr>
        <w:t>- XXXX</w:t>
      </w:r>
    </w:p>
    <w:p>
      <w:pPr>
        <w:ind w:firstLine="560" w:firstLineChars="200"/>
        <w:rPr>
          <w:rFonts w:ascii="黑体" w:hAnsi="黑体" w:eastAsia="黑体" w:cs="Arial"/>
          <w:sz w:val="28"/>
          <w:szCs w:val="28"/>
        </w:rPr>
      </w:pPr>
      <w:r>
        <w:rPr>
          <w:rFonts w:hint="eastAsia" w:ascii="黑体" w:hAnsi="黑体" w:eastAsia="黑体" w:cs="Arial"/>
          <w:sz w:val="28"/>
          <w:szCs w:val="28"/>
        </w:rPr>
        <w:t xml:space="preserve">and </w:t>
      </w:r>
      <w:r>
        <w:rPr>
          <w:rFonts w:ascii="黑体" w:hAnsi="黑体" w:eastAsia="黑体" w:cs="Arial"/>
          <w:sz w:val="28"/>
          <w:szCs w:val="28"/>
        </w:rPr>
        <w:t>r</w:t>
      </w:r>
      <w:r>
        <w:rPr>
          <w:rFonts w:hint="eastAsia" w:ascii="黑体" w:hAnsi="黑体" w:eastAsia="黑体" w:cs="Arial"/>
          <w:sz w:val="28"/>
          <w:szCs w:val="28"/>
        </w:rPr>
        <w:t>equirements of carbon footprint</w:t>
      </w:r>
      <w:r>
        <w:rPr>
          <w:rFonts w:ascii="黑体" w:hAnsi="黑体" w:eastAsia="黑体" w:cs="Arial"/>
          <w:sz w:val="28"/>
          <w:szCs w:val="28"/>
        </w:rPr>
        <w:t xml:space="preserve"> </w:t>
      </w:r>
      <w:r>
        <w:rPr>
          <w:rFonts w:hint="eastAsia" w:ascii="黑体" w:hAnsi="黑体" w:eastAsia="黑体" w:cs="Arial"/>
          <w:sz w:val="28"/>
          <w:szCs w:val="28"/>
        </w:rPr>
        <w:t>of</w:t>
      </w:r>
      <w:r>
        <w:rPr>
          <w:rFonts w:ascii="黑体" w:hAnsi="黑体" w:eastAsia="黑体" w:cs="Arial"/>
          <w:sz w:val="28"/>
          <w:szCs w:val="28"/>
        </w:rPr>
        <w:t xml:space="preserve"> </w:t>
      </w:r>
    </w:p>
    <w:p>
      <w:pPr>
        <w:ind w:firstLine="1680" w:firstLineChars="600"/>
        <w:rPr>
          <w:rFonts w:ascii="黑体" w:hAnsi="黑体" w:eastAsia="黑体" w:cs="Arial"/>
          <w:sz w:val="28"/>
          <w:szCs w:val="28"/>
        </w:rPr>
      </w:pPr>
      <w:r>
        <w:rPr>
          <w:rFonts w:hint="eastAsia" w:ascii="黑体" w:hAnsi="黑体" w:eastAsia="黑体" w:cs="Arial"/>
          <w:sz w:val="28"/>
          <w:szCs w:val="28"/>
        </w:rPr>
        <w:t>products</w:t>
      </w:r>
      <w:r>
        <w:rPr>
          <w:rFonts w:ascii="黑体" w:hAnsi="黑体" w:eastAsia="黑体" w:cs="Arial"/>
          <w:sz w:val="28"/>
          <w:szCs w:val="28"/>
        </w:rPr>
        <w:t>——</w:t>
      </w:r>
      <w:r>
        <w:rPr>
          <w:rFonts w:hint="eastAsia" w:ascii="黑体" w:hAnsi="黑体" w:eastAsia="黑体" w:cs="Arial"/>
          <w:sz w:val="28"/>
          <w:szCs w:val="28"/>
        </w:rPr>
        <w:t>Snow Tyres</w:t>
      </w:r>
    </w:p>
    <w:p>
      <w:pPr>
        <w:autoSpaceDE w:val="0"/>
        <w:autoSpaceDN w:val="0"/>
        <w:adjustRightInd w:val="0"/>
        <w:ind w:firstLine="420"/>
        <w:jc w:val="left"/>
        <w:rPr>
          <w:rFonts w:cs="黑体" w:asciiTheme="minorEastAsia" w:hAnsiTheme="minorEastAsia"/>
          <w:kern w:val="0"/>
          <w:szCs w:val="21"/>
        </w:rPr>
      </w:pPr>
      <w:r>
        <w:rPr>
          <w:rFonts w:cs="黑体" w:asciiTheme="minorEastAsia" w:hAnsiTheme="minorEastAsia"/>
          <w:kern w:val="0"/>
          <w:szCs w:val="21"/>
        </w:rPr>
        <mc:AlternateContent>
          <mc:Choice Requires="wps">
            <w:drawing>
              <wp:anchor distT="0" distB="0" distL="114300" distR="114300" simplePos="0" relativeHeight="251668480" behindDoc="0" locked="0" layoutInCell="1" allowOverlap="1">
                <wp:simplePos x="0" y="0"/>
                <wp:positionH relativeFrom="column">
                  <wp:posOffset>23495</wp:posOffset>
                </wp:positionH>
                <wp:positionV relativeFrom="paragraph">
                  <wp:posOffset>110490</wp:posOffset>
                </wp:positionV>
                <wp:extent cx="5915025" cy="0"/>
                <wp:effectExtent l="0" t="0" r="9525" b="19050"/>
                <wp:wrapNone/>
                <wp:docPr id="46" name="直接连接符 46"/>
                <wp:cNvGraphicFramePr/>
                <a:graphic xmlns:a="http://schemas.openxmlformats.org/drawingml/2006/main">
                  <a:graphicData uri="http://schemas.microsoft.com/office/word/2010/wordprocessingShape">
                    <wps:wsp>
                      <wps:cNvCnPr/>
                      <wps:spPr>
                        <a:xfrm>
                          <a:off x="0" y="0"/>
                          <a:ext cx="591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5pt;margin-top:8.7pt;height:0pt;width:465.75pt;z-index:251668480;mso-width-relative:page;mso-height-relative:page;" filled="f" stroked="t" coordsize="21600,21600" o:gfxdata="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FyLU23UAAAABwEAAA8AAAAA&#10;AAAAAQAgAAAAOAAAAGRycy9kb3ducmV2LnhtbFBLAQIUABQAAAAIAIdO4kDNOQMgyQEAAGUDAAAO&#10;AAAAAAAAAAEAIAAAADkBAABkcnMvZTJvRG9jLnhtbFBLBQYAAAAABgAGAFkBAAB0BQAAAAA=&#10;">
                <v:fill on="f" focussize="0,0"/>
                <v:stroke weight="0.5pt" color="#000000 [3213]" miterlimit="8" joinstyle="miter"/>
                <v:imagedata o:title=""/>
                <o:lock v:ext="edit" aspectratio="f"/>
              </v:line>
            </w:pict>
          </mc:Fallback>
        </mc:AlternateContent>
      </w: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840" w:firstLineChars="300"/>
        <w:jc w:val="left"/>
        <w:rPr>
          <w:rFonts w:ascii="宋体" w:hAnsi="宋体" w:cs="黑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ascii="宋体" w:hAnsi="宋体" w:cs="黑体"/>
          <w:kern w:val="0"/>
          <w:sz w:val="28"/>
          <w:szCs w:val="28"/>
        </w:rPr>
        <w:t>吉林省市场监督管理厅</w:t>
      </w: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840" w:firstLineChars="300"/>
        <w:jc w:val="left"/>
        <w:rPr>
          <w:rFonts w:cs="黑体" w:asciiTheme="minorEastAsia" w:hAnsiTheme="minorEastAsia"/>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cs="黑体" w:asciiTheme="minorEastAsia" w:hAnsiTheme="minorEastAsia"/>
          <w:kern w:val="0"/>
          <w:sz w:val="28"/>
          <w:szCs w:val="28"/>
        </w:rPr>
        <w:t>吉林省计量科学研究院</w:t>
      </w: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2800" w:firstLineChars="1000"/>
        <w:jc w:val="left"/>
        <w:rPr>
          <w:rFonts w:cs="黑体" w:asciiTheme="minorEastAsia" w:hAnsiTheme="minorEastAsia"/>
          <w:kern w:val="0"/>
          <w:sz w:val="28"/>
          <w:szCs w:val="28"/>
        </w:rPr>
      </w:pPr>
      <w:r>
        <w:rPr>
          <w:rFonts w:hint="eastAsia" w:ascii="黑体" w:eastAsia="黑体" w:cs="黑体"/>
          <w:kern w:val="0"/>
          <w:sz w:val="28"/>
          <w:szCs w:val="28"/>
        </w:rPr>
        <w:t xml:space="preserve"> </w:t>
      </w:r>
      <w:r>
        <w:rPr>
          <w:rFonts w:ascii="黑体" w:eastAsia="黑体" w:cs="黑体"/>
          <w:kern w:val="0"/>
          <w:sz w:val="28"/>
          <w:szCs w:val="28"/>
        </w:rPr>
        <w:t xml:space="preserve"> </w:t>
      </w:r>
      <w:r>
        <w:rPr>
          <w:rFonts w:cs="黑体" w:asciiTheme="minorEastAsia" w:hAnsiTheme="minorEastAsia"/>
          <w:kern w:val="0"/>
          <w:sz w:val="28"/>
          <w:szCs w:val="28"/>
        </w:rPr>
        <w:t>长春汽车检测中心有限责任公司</w:t>
      </w: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r>
        <w:rPr>
          <w:rFonts w:hint="eastAsia" w:cs="黑体" w:asciiTheme="minorEastAsia" w:hAnsiTheme="minorEastAsia"/>
          <w:kern w:val="0"/>
          <w:szCs w:val="21"/>
        </w:rPr>
        <w:t xml:space="preserve">   </w:t>
      </w: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560"/>
        <w:jc w:val="center"/>
        <w:rPr>
          <w:rFonts w:ascii="宋体" w:hAnsi="宋体" w:cs="黑体"/>
          <w:kern w:val="0"/>
          <w:sz w:val="28"/>
          <w:szCs w:val="28"/>
        </w:rPr>
      </w:pPr>
      <w:r>
        <w:rPr>
          <w:rFonts w:hint="eastAsia" w:ascii="宋体" w:hAnsi="宋体" w:cs="黑体"/>
          <w:kern w:val="0"/>
          <w:sz w:val="28"/>
          <w:szCs w:val="28"/>
        </w:rPr>
        <w:t>本规范由吉林省计量科学研究院负责解释</w:t>
      </w:r>
    </w:p>
    <w:p>
      <w:pPr>
        <w:autoSpaceDE w:val="0"/>
        <w:autoSpaceDN w:val="0"/>
        <w:adjustRightInd w:val="0"/>
        <w:rPr>
          <w:rFonts w:ascii="黑体" w:eastAsia="黑体" w:cs="黑体"/>
          <w:kern w:val="0"/>
          <w:sz w:val="10"/>
          <w:szCs w:val="10"/>
        </w:rPr>
      </w:pPr>
    </w:p>
    <w:p>
      <w:pPr>
        <w:autoSpaceDE w:val="0"/>
        <w:autoSpaceDN w:val="0"/>
        <w:adjustRightInd w:val="0"/>
        <w:ind w:firstLine="560"/>
        <w:jc w:val="left"/>
        <w:rPr>
          <w:rFonts w:ascii="黑体" w:eastAsia="黑体" w:cs="黑体"/>
          <w:kern w:val="0"/>
          <w:sz w:val="28"/>
          <w:szCs w:val="28"/>
        </w:rPr>
        <w:sectPr>
          <w:footerReference r:id="rId8" w:type="first"/>
          <w:headerReference r:id="rId4" w:type="default"/>
          <w:footerReference r:id="rId6" w:type="default"/>
          <w:headerReference r:id="rId5" w:type="even"/>
          <w:footerReference r:id="rId7" w:type="even"/>
          <w:pgSz w:w="11906" w:h="16838"/>
          <w:pgMar w:top="1361" w:right="1134" w:bottom="1361" w:left="1418" w:header="851" w:footer="992" w:gutter="0"/>
          <w:pgNumType w:fmt="upperRoman" w:start="1"/>
          <w:cols w:space="425" w:num="1"/>
          <w:docGrid w:linePitch="312" w:charSpace="0"/>
        </w:sect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ind w:firstLine="420"/>
        <w:jc w:val="left"/>
        <w:rPr>
          <w:rFonts w:cs="黑体" w:asciiTheme="minorEastAsia" w:hAnsiTheme="minorEastAsia"/>
          <w:kern w:val="0"/>
          <w:szCs w:val="21"/>
        </w:rPr>
      </w:pPr>
    </w:p>
    <w:p>
      <w:pPr>
        <w:autoSpaceDE w:val="0"/>
        <w:autoSpaceDN w:val="0"/>
        <w:adjustRightInd w:val="0"/>
        <w:spacing w:line="360" w:lineRule="auto"/>
        <w:ind w:firstLine="560"/>
        <w:jc w:val="left"/>
        <w:rPr>
          <w:rFonts w:ascii="黑体" w:eastAsia="黑体" w:cs="黑体"/>
          <w:kern w:val="0"/>
          <w:sz w:val="28"/>
          <w:szCs w:val="28"/>
        </w:rPr>
      </w:pPr>
      <w:r>
        <w:rPr>
          <w:rFonts w:hint="eastAsia" w:ascii="黑体" w:eastAsia="黑体" w:cs="黑体"/>
          <w:kern w:val="0"/>
          <w:sz w:val="28"/>
          <w:szCs w:val="28"/>
        </w:rPr>
        <w:t>本规范主要起草人</w:t>
      </w:r>
      <w:r>
        <w:rPr>
          <w:rFonts w:ascii="黑体" w:eastAsia="黑体" w:cs="黑体"/>
          <w:kern w:val="0"/>
          <w:sz w:val="28"/>
          <w:szCs w:val="28"/>
        </w:rPr>
        <w:t>：</w:t>
      </w:r>
    </w:p>
    <w:p>
      <w:pPr>
        <w:autoSpaceDE w:val="0"/>
        <w:autoSpaceDN w:val="0"/>
        <w:adjustRightInd w:val="0"/>
        <w:spacing w:line="360" w:lineRule="auto"/>
        <w:ind w:firstLine="1400" w:firstLineChars="500"/>
        <w:jc w:val="left"/>
        <w:rPr>
          <w:rFonts w:cs="黑体" w:asciiTheme="minorEastAsia" w:hAnsiTheme="minorEastAsia"/>
          <w:kern w:val="0"/>
          <w:sz w:val="28"/>
          <w:szCs w:val="28"/>
        </w:rPr>
      </w:pPr>
      <w:r>
        <w:rPr>
          <w:rFonts w:hint="eastAsia" w:hAnsi="宋体"/>
          <w:sz w:val="28"/>
          <w:szCs w:val="28"/>
        </w:rPr>
        <w:t>韩亦彤</w:t>
      </w:r>
      <w:r>
        <w:rPr>
          <w:rFonts w:hint="eastAsia" w:cs="黑体" w:asciiTheme="minorEastAsia" w:hAnsiTheme="minorEastAsia"/>
          <w:kern w:val="0"/>
          <w:sz w:val="28"/>
          <w:szCs w:val="28"/>
        </w:rPr>
        <w:t xml:space="preserve">  （吉林省计量科学研究院）</w:t>
      </w:r>
    </w:p>
    <w:p>
      <w:pPr>
        <w:autoSpaceDE w:val="0"/>
        <w:autoSpaceDN w:val="0"/>
        <w:adjustRightInd w:val="0"/>
        <w:spacing w:line="360" w:lineRule="auto"/>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rPr>
        <w:t>姜伟男  （长春汽车检测中心有限责任公司）</w:t>
      </w:r>
    </w:p>
    <w:p>
      <w:pPr>
        <w:autoSpaceDE w:val="0"/>
        <w:autoSpaceDN w:val="0"/>
        <w:adjustRightInd w:val="0"/>
        <w:spacing w:line="360" w:lineRule="auto"/>
        <w:ind w:firstLine="1400" w:firstLineChars="500"/>
        <w:jc w:val="left"/>
        <w:rPr>
          <w:rFonts w:cs="黑体" w:asciiTheme="minorEastAsia" w:hAnsiTheme="minorEastAsia"/>
          <w:kern w:val="0"/>
          <w:sz w:val="28"/>
          <w:szCs w:val="28"/>
        </w:rPr>
      </w:pPr>
      <w:r>
        <w:rPr>
          <w:rFonts w:hint="eastAsia" w:hAnsi="宋体"/>
          <w:sz w:val="28"/>
          <w:szCs w:val="28"/>
        </w:rPr>
        <w:t xml:space="preserve">李 </w:t>
      </w:r>
      <w:r>
        <w:rPr>
          <w:rFonts w:hAnsi="宋体"/>
          <w:sz w:val="28"/>
          <w:szCs w:val="28"/>
        </w:rPr>
        <w:t xml:space="preserve"> </w:t>
      </w:r>
      <w:r>
        <w:rPr>
          <w:rFonts w:hint="eastAsia" w:hAnsi="宋体"/>
          <w:sz w:val="28"/>
          <w:szCs w:val="28"/>
        </w:rPr>
        <w:t>韬</w:t>
      </w:r>
      <w:r>
        <w:rPr>
          <w:rFonts w:hint="eastAsia" w:cs="黑体" w:asciiTheme="minorEastAsia" w:hAnsiTheme="minorEastAsia"/>
          <w:kern w:val="0"/>
          <w:sz w:val="28"/>
          <w:szCs w:val="28"/>
        </w:rPr>
        <w:t xml:space="preserve">  （吉林省计量科学研究院）</w:t>
      </w:r>
    </w:p>
    <w:p>
      <w:pPr>
        <w:autoSpaceDE w:val="0"/>
        <w:autoSpaceDN w:val="0"/>
        <w:adjustRightInd w:val="0"/>
        <w:spacing w:line="360" w:lineRule="auto"/>
        <w:ind w:firstLine="1416" w:firstLineChars="506"/>
        <w:jc w:val="left"/>
        <w:rPr>
          <w:rFonts w:ascii="黑体" w:hAnsi="黑体" w:eastAsia="黑体"/>
          <w:sz w:val="28"/>
        </w:rPr>
      </w:pPr>
      <w:r>
        <w:rPr>
          <w:rFonts w:hint="eastAsia" w:ascii="黑体" w:hAnsi="黑体" w:eastAsia="黑体"/>
          <w:sz w:val="28"/>
        </w:rPr>
        <w:t>参加起草人：</w:t>
      </w:r>
    </w:p>
    <w:p>
      <w:pPr>
        <w:autoSpaceDE w:val="0"/>
        <w:autoSpaceDN w:val="0"/>
        <w:adjustRightInd w:val="0"/>
        <w:spacing w:line="360" w:lineRule="auto"/>
        <w:ind w:firstLine="1416" w:firstLineChars="506"/>
        <w:jc w:val="left"/>
        <w:rPr>
          <w:rFonts w:cs="黑体" w:asciiTheme="minorEastAsia" w:hAnsiTheme="minorEastAsia"/>
          <w:kern w:val="0"/>
          <w:sz w:val="28"/>
          <w:szCs w:val="28"/>
        </w:rPr>
      </w:pPr>
      <w:r>
        <w:rPr>
          <w:rFonts w:hint="eastAsia" w:asciiTheme="minorEastAsia" w:hAnsiTheme="minorEastAsia"/>
          <w:sz w:val="28"/>
        </w:rPr>
        <w:t>王肇聿  （</w:t>
      </w:r>
      <w:r>
        <w:rPr>
          <w:rFonts w:hint="eastAsia" w:cs="黑体" w:asciiTheme="minorEastAsia" w:hAnsiTheme="minorEastAsia"/>
          <w:kern w:val="0"/>
          <w:sz w:val="28"/>
          <w:szCs w:val="28"/>
        </w:rPr>
        <w:t>长春汽车检测中心有限责任公司）</w:t>
      </w:r>
    </w:p>
    <w:p>
      <w:pPr>
        <w:autoSpaceDE w:val="0"/>
        <w:autoSpaceDN w:val="0"/>
        <w:adjustRightInd w:val="0"/>
        <w:spacing w:line="360" w:lineRule="auto"/>
        <w:ind w:firstLine="1416" w:firstLineChars="506"/>
        <w:jc w:val="left"/>
        <w:rPr>
          <w:rFonts w:cs="黑体" w:asciiTheme="minorEastAsia" w:hAnsiTheme="minorEastAsia"/>
          <w:kern w:val="0"/>
          <w:sz w:val="28"/>
          <w:szCs w:val="28"/>
        </w:rPr>
      </w:pPr>
      <w:r>
        <w:rPr>
          <w:rFonts w:hint="eastAsia" w:asciiTheme="minorEastAsia" w:hAnsiTheme="minorEastAsia"/>
          <w:sz w:val="28"/>
        </w:rPr>
        <w:t>李壮壮  （</w:t>
      </w:r>
      <w:r>
        <w:rPr>
          <w:rFonts w:hint="eastAsia" w:cs="黑体" w:asciiTheme="minorEastAsia" w:hAnsiTheme="minorEastAsia"/>
          <w:kern w:val="0"/>
          <w:sz w:val="28"/>
          <w:szCs w:val="28"/>
        </w:rPr>
        <w:t>吉林省计量科学研究院）</w:t>
      </w:r>
    </w:p>
    <w:p>
      <w:pPr>
        <w:autoSpaceDE w:val="0"/>
        <w:autoSpaceDN w:val="0"/>
        <w:adjustRightInd w:val="0"/>
        <w:spacing w:line="360" w:lineRule="auto"/>
        <w:ind w:firstLine="1416" w:firstLineChars="506"/>
        <w:jc w:val="left"/>
        <w:rPr>
          <w:rFonts w:cs="黑体" w:asciiTheme="minorEastAsia" w:hAnsiTheme="minorEastAsia"/>
          <w:kern w:val="0"/>
          <w:sz w:val="28"/>
          <w:szCs w:val="28"/>
        </w:rPr>
      </w:pPr>
    </w:p>
    <w:p>
      <w:pPr>
        <w:autoSpaceDE w:val="0"/>
        <w:autoSpaceDN w:val="0"/>
        <w:adjustRightInd w:val="0"/>
        <w:spacing w:line="594" w:lineRule="exact"/>
        <w:ind w:firstLine="1416" w:firstLineChars="506"/>
        <w:rPr>
          <w:rFonts w:cs="黑体" w:asciiTheme="minorEastAsia" w:hAnsiTheme="minorEastAsia"/>
          <w:kern w:val="0"/>
          <w:sz w:val="28"/>
          <w:szCs w:val="28"/>
        </w:rPr>
        <w:sectPr>
          <w:headerReference r:id="rId9" w:type="default"/>
          <w:footerReference r:id="rId10" w:type="default"/>
          <w:pgSz w:w="11906" w:h="16838"/>
          <w:pgMar w:top="1134" w:right="1134" w:bottom="1134" w:left="1134" w:header="851" w:footer="992" w:gutter="0"/>
          <w:pgNumType w:fmt="upperRoman"/>
          <w:cols w:space="425" w:num="1"/>
          <w:docGrid w:linePitch="312" w:charSpace="0"/>
        </w:sectPr>
      </w:pPr>
    </w:p>
    <w:sdt>
      <w:sdtPr>
        <w:rPr>
          <w:rFonts w:ascii="宋体" w:hAnsi="宋体" w:eastAsia="宋体" w:cs="黑体"/>
          <w:kern w:val="0"/>
          <w:sz w:val="24"/>
          <w:szCs w:val="24"/>
        </w:rPr>
        <w:id w:val="147458621"/>
        <w:docPartObj>
          <w:docPartGallery w:val="Table of Contents"/>
          <w:docPartUnique/>
        </w:docPartObj>
      </w:sdtPr>
      <w:sdtEndPr>
        <w:rPr>
          <w:rFonts w:hint="eastAsia" w:ascii="宋体" w:hAnsi="宋体" w:eastAsia="宋体" w:cs="黑体"/>
          <w:kern w:val="0"/>
          <w:sz w:val="24"/>
          <w:szCs w:val="24"/>
        </w:rPr>
      </w:sdtEndPr>
      <w:sdtContent>
        <w:p>
          <w:pPr>
            <w:spacing w:before="120" w:beforeLines="50" w:after="120" w:afterLines="50"/>
            <w:jc w:val="center"/>
            <w:rPr>
              <w:rFonts w:ascii="黑体" w:hAnsi="黑体" w:eastAsia="黑体" w:cs="黑体"/>
              <w:b/>
              <w:bCs/>
              <w:sz w:val="40"/>
              <w:szCs w:val="44"/>
            </w:rPr>
          </w:pPr>
          <w:bookmarkStart w:id="1" w:name="_Toc496642768"/>
          <w:r>
            <w:rPr>
              <w:rFonts w:hint="eastAsia" w:ascii="黑体" w:hAnsi="黑体" w:eastAsia="黑体" w:cs="黑体"/>
              <w:b/>
              <w:bCs/>
              <w:sz w:val="40"/>
              <w:szCs w:val="44"/>
            </w:rPr>
            <w:t>目  录</w:t>
          </w:r>
        </w:p>
        <w:p>
          <w:pPr>
            <w:pStyle w:val="8"/>
            <w:tabs>
              <w:tab w:val="right" w:leader="dot" w:pos="9638"/>
              <w:tab w:val="clear" w:pos="8296"/>
            </w:tabs>
            <w:spacing w:line="480" w:lineRule="auto"/>
          </w:pPr>
          <w:r>
            <w:rPr>
              <w:rStyle w:val="16"/>
              <w:rFonts w:hint="eastAsia"/>
              <w:color w:val="auto"/>
            </w:rPr>
            <w:fldChar w:fldCharType="begin"/>
          </w:r>
          <w:r>
            <w:rPr>
              <w:rStyle w:val="16"/>
              <w:rFonts w:hint="eastAsia"/>
              <w:color w:val="auto"/>
            </w:rPr>
            <w:instrText xml:space="preserve">TOC \o "1-1" \h \u </w:instrText>
          </w:r>
          <w:r>
            <w:rPr>
              <w:rStyle w:val="16"/>
              <w:rFonts w:hint="eastAsia"/>
              <w:color w:val="auto"/>
            </w:rPr>
            <w:fldChar w:fldCharType="separate"/>
          </w:r>
          <w:r>
            <w:fldChar w:fldCharType="begin"/>
          </w:r>
          <w:r>
            <w:instrText xml:space="preserve"> HYPERLINK \l "_Toc29781" </w:instrText>
          </w:r>
          <w:r>
            <w:fldChar w:fldCharType="separate"/>
          </w:r>
          <w:r>
            <w:rPr>
              <w:rFonts w:ascii="Times New Roman" w:hAnsi="Times New Roman" w:cs="Times New Roman"/>
            </w:rPr>
            <w:t>1 范围</w:t>
          </w:r>
          <w:r>
            <w:tab/>
          </w:r>
          <w:r>
            <w:fldChar w:fldCharType="begin"/>
          </w:r>
          <w:r>
            <w:instrText xml:space="preserve"> PAGEREF _Toc29781 \h </w:instrText>
          </w:r>
          <w:r>
            <w:fldChar w:fldCharType="separate"/>
          </w:r>
          <w:r>
            <w:t>1</w:t>
          </w:r>
          <w:r>
            <w:fldChar w:fldCharType="end"/>
          </w:r>
          <w:r>
            <w:fldChar w:fldCharType="end"/>
          </w:r>
        </w:p>
        <w:p>
          <w:pPr>
            <w:pStyle w:val="8"/>
            <w:tabs>
              <w:tab w:val="right" w:leader="dot" w:pos="9638"/>
              <w:tab w:val="clear" w:pos="8296"/>
            </w:tabs>
            <w:spacing w:line="480" w:lineRule="auto"/>
          </w:pPr>
          <w:r>
            <w:fldChar w:fldCharType="begin"/>
          </w:r>
          <w:r>
            <w:instrText xml:space="preserve"> HYPERLINK \l "_Toc30191" </w:instrText>
          </w:r>
          <w:r>
            <w:fldChar w:fldCharType="separate"/>
          </w:r>
          <w:r>
            <w:rPr>
              <w:rFonts w:ascii="Times New Roman" w:hAnsi="Times New Roman" w:cs="Times New Roman"/>
            </w:rPr>
            <w:t>2 引用文件</w:t>
          </w:r>
          <w:r>
            <w:tab/>
          </w:r>
          <w:r>
            <w:fldChar w:fldCharType="begin"/>
          </w:r>
          <w:r>
            <w:instrText xml:space="preserve"> PAGEREF _Toc30191 \h </w:instrText>
          </w:r>
          <w:r>
            <w:fldChar w:fldCharType="separate"/>
          </w:r>
          <w:r>
            <w:t>1</w:t>
          </w:r>
          <w:r>
            <w:fldChar w:fldCharType="end"/>
          </w:r>
          <w:r>
            <w:fldChar w:fldCharType="end"/>
          </w:r>
        </w:p>
        <w:p>
          <w:pPr>
            <w:pStyle w:val="8"/>
            <w:tabs>
              <w:tab w:val="right" w:leader="dot" w:pos="9638"/>
              <w:tab w:val="clear" w:pos="8296"/>
            </w:tabs>
            <w:spacing w:line="480" w:lineRule="auto"/>
          </w:pPr>
          <w:r>
            <w:fldChar w:fldCharType="begin"/>
          </w:r>
          <w:r>
            <w:instrText xml:space="preserve"> HYPERLINK \l "_Toc9010" </w:instrText>
          </w:r>
          <w:r>
            <w:fldChar w:fldCharType="separate"/>
          </w:r>
          <w:r>
            <w:rPr>
              <w:rFonts w:ascii="Times New Roman" w:hAnsi="Times New Roman" w:cs="Times New Roman"/>
            </w:rPr>
            <w:t>3 术语</w:t>
          </w:r>
          <w:r>
            <w:tab/>
          </w:r>
          <w:r>
            <w:fldChar w:fldCharType="begin"/>
          </w:r>
          <w:r>
            <w:instrText xml:space="preserve"> PAGEREF _Toc9010 \h </w:instrText>
          </w:r>
          <w:r>
            <w:fldChar w:fldCharType="separate"/>
          </w:r>
          <w:r>
            <w:t>1</w:t>
          </w:r>
          <w:r>
            <w:fldChar w:fldCharType="end"/>
          </w:r>
          <w:r>
            <w:fldChar w:fldCharType="end"/>
          </w:r>
        </w:p>
        <w:p>
          <w:pPr>
            <w:pStyle w:val="8"/>
            <w:tabs>
              <w:tab w:val="right" w:leader="dot" w:pos="9638"/>
              <w:tab w:val="clear" w:pos="8296"/>
            </w:tabs>
            <w:spacing w:line="480" w:lineRule="auto"/>
          </w:pPr>
          <w:r>
            <w:fldChar w:fldCharType="begin"/>
          </w:r>
          <w:r>
            <w:instrText xml:space="preserve"> HYPERLINK \l "_Toc29795" </w:instrText>
          </w:r>
          <w:r>
            <w:fldChar w:fldCharType="separate"/>
          </w:r>
          <w:r>
            <w:rPr>
              <w:rFonts w:ascii="Times New Roman" w:hAnsi="Times New Roman" w:cs="Times New Roman"/>
            </w:rPr>
            <w:t>4 雪地轮胎产品</w:t>
          </w:r>
          <w:r>
            <w:rPr>
              <w:rFonts w:hint="eastAsia" w:ascii="Times New Roman" w:hAnsi="Times New Roman" w:cs="Times New Roman"/>
            </w:rPr>
            <w:t>碳足迹</w:t>
          </w:r>
          <w:r>
            <w:rPr>
              <w:rFonts w:ascii="Times New Roman" w:hAnsi="Times New Roman" w:cs="Times New Roman"/>
            </w:rPr>
            <w:t>量化</w:t>
          </w:r>
          <w:r>
            <w:rPr>
              <w:rFonts w:hint="eastAsia" w:ascii="Times New Roman" w:hAnsi="Times New Roman" w:cs="Times New Roman"/>
            </w:rPr>
            <w:t>原则及范围</w:t>
          </w:r>
          <w:r>
            <w:tab/>
          </w:r>
          <w:r>
            <w:fldChar w:fldCharType="begin"/>
          </w:r>
          <w:r>
            <w:instrText xml:space="preserve"> PAGEREF _Toc29795 \h </w:instrText>
          </w:r>
          <w:r>
            <w:fldChar w:fldCharType="separate"/>
          </w:r>
          <w:r>
            <w:t>2</w:t>
          </w:r>
          <w:r>
            <w:fldChar w:fldCharType="end"/>
          </w:r>
          <w:r>
            <w:fldChar w:fldCharType="end"/>
          </w:r>
        </w:p>
        <w:p>
          <w:pPr>
            <w:pStyle w:val="8"/>
            <w:tabs>
              <w:tab w:val="right" w:leader="dot" w:pos="9638"/>
              <w:tab w:val="clear" w:pos="8296"/>
            </w:tabs>
            <w:spacing w:line="480" w:lineRule="auto"/>
          </w:pPr>
          <w:r>
            <w:fldChar w:fldCharType="begin"/>
          </w:r>
          <w:r>
            <w:instrText xml:space="preserve"> HYPERLINK \l "_Toc26706" </w:instrText>
          </w:r>
          <w:r>
            <w:fldChar w:fldCharType="separate"/>
          </w:r>
          <w:r>
            <w:rPr>
              <w:rFonts w:ascii="Times New Roman" w:hAnsi="Times New Roman" w:cs="Times New Roman"/>
            </w:rPr>
            <w:t xml:space="preserve">5 </w:t>
          </w:r>
          <w:r>
            <w:rPr>
              <w:rFonts w:hint="eastAsia" w:ascii="Times New Roman" w:hAnsi="Times New Roman" w:cs="Times New Roman"/>
            </w:rPr>
            <w:t>数据和数据质量</w:t>
          </w:r>
          <w:r>
            <w:tab/>
          </w:r>
          <w:r>
            <w:fldChar w:fldCharType="begin"/>
          </w:r>
          <w:r>
            <w:instrText xml:space="preserve"> PAGEREF _Toc26706 \h </w:instrText>
          </w:r>
          <w:r>
            <w:fldChar w:fldCharType="separate"/>
          </w:r>
          <w:r>
            <w:t>4</w:t>
          </w:r>
          <w:r>
            <w:fldChar w:fldCharType="end"/>
          </w:r>
          <w:r>
            <w:fldChar w:fldCharType="end"/>
          </w:r>
        </w:p>
        <w:p>
          <w:pPr>
            <w:pStyle w:val="8"/>
            <w:tabs>
              <w:tab w:val="right" w:leader="dot" w:pos="9638"/>
              <w:tab w:val="clear" w:pos="8296"/>
            </w:tabs>
            <w:spacing w:line="480" w:lineRule="auto"/>
          </w:pPr>
          <w:r>
            <w:fldChar w:fldCharType="begin"/>
          </w:r>
          <w:r>
            <w:instrText xml:space="preserve"> HYPERLINK \l "_Toc16047" </w:instrText>
          </w:r>
          <w:r>
            <w:fldChar w:fldCharType="separate"/>
          </w:r>
          <w:r>
            <w:rPr>
              <w:rFonts w:ascii="Times New Roman" w:hAnsi="Times New Roman" w:cs="Times New Roman"/>
            </w:rPr>
            <w:t xml:space="preserve">6 </w:t>
          </w:r>
          <w:r>
            <w:rPr>
              <w:rFonts w:hint="eastAsia" w:ascii="Times New Roman" w:hAnsi="Times New Roman" w:cs="Times New Roman"/>
            </w:rPr>
            <w:t>雪地轮胎产品碳足迹</w:t>
          </w:r>
          <w:r>
            <w:rPr>
              <w:rFonts w:ascii="Times New Roman" w:hAnsi="Times New Roman" w:cs="Times New Roman"/>
            </w:rPr>
            <w:t>量化</w:t>
          </w:r>
          <w:r>
            <w:rPr>
              <w:rFonts w:hint="eastAsia" w:ascii="Times New Roman" w:hAnsi="Times New Roman" w:cs="Times New Roman"/>
            </w:rPr>
            <w:t>方法</w:t>
          </w:r>
          <w:r>
            <w:tab/>
          </w:r>
          <w:r>
            <w:fldChar w:fldCharType="begin"/>
          </w:r>
          <w:r>
            <w:instrText xml:space="preserve"> PAGEREF _Toc16047 \h </w:instrText>
          </w:r>
          <w:r>
            <w:fldChar w:fldCharType="separate"/>
          </w:r>
          <w:r>
            <w:t>6</w:t>
          </w:r>
          <w:r>
            <w:fldChar w:fldCharType="end"/>
          </w:r>
          <w:r>
            <w:fldChar w:fldCharType="end"/>
          </w:r>
        </w:p>
        <w:p>
          <w:pPr>
            <w:pStyle w:val="8"/>
            <w:tabs>
              <w:tab w:val="right" w:leader="dot" w:pos="9638"/>
              <w:tab w:val="clear" w:pos="8296"/>
            </w:tabs>
            <w:spacing w:line="480" w:lineRule="auto"/>
          </w:pPr>
          <w:r>
            <w:fldChar w:fldCharType="begin"/>
          </w:r>
          <w:r>
            <w:instrText xml:space="preserve"> HYPERLINK \l "_Toc11022" </w:instrText>
          </w:r>
          <w:r>
            <w:fldChar w:fldCharType="separate"/>
          </w:r>
          <w:r>
            <w:rPr>
              <w:rFonts w:ascii="Times New Roman" w:hAnsi="Times New Roman" w:cs="Times New Roman"/>
            </w:rPr>
            <w:t xml:space="preserve">7 </w:t>
          </w:r>
          <w:r>
            <w:rPr>
              <w:rFonts w:hint="eastAsia" w:ascii="Times New Roman" w:hAnsi="Times New Roman" w:cs="Times New Roman"/>
            </w:rPr>
            <w:t>编制依据</w:t>
          </w:r>
          <w:r>
            <w:tab/>
          </w:r>
          <w:r>
            <w:fldChar w:fldCharType="begin"/>
          </w:r>
          <w:r>
            <w:instrText xml:space="preserve"> PAGEREF _Toc11022 \h </w:instrText>
          </w:r>
          <w:r>
            <w:fldChar w:fldCharType="separate"/>
          </w:r>
          <w:r>
            <w:t>11</w:t>
          </w:r>
          <w:r>
            <w:fldChar w:fldCharType="end"/>
          </w:r>
          <w:r>
            <w:fldChar w:fldCharType="end"/>
          </w:r>
        </w:p>
        <w:p>
          <w:pPr>
            <w:pStyle w:val="8"/>
            <w:tabs>
              <w:tab w:val="right" w:leader="dot" w:pos="9638"/>
              <w:tab w:val="clear" w:pos="8296"/>
            </w:tabs>
            <w:spacing w:line="480" w:lineRule="auto"/>
            <w:rPr>
              <w:rFonts w:hAnsi="Times New Roman" w:cs="宋体"/>
              <w:lang w:val="zh-CN"/>
            </w:rPr>
          </w:pPr>
          <w:r>
            <w:fldChar w:fldCharType="begin"/>
          </w:r>
          <w:r>
            <w:instrText xml:space="preserve"> HYPERLINK \l "_Toc17855" </w:instrText>
          </w:r>
          <w:r>
            <w:fldChar w:fldCharType="separate"/>
          </w:r>
          <w:r>
            <w:rPr>
              <w:rFonts w:hint="eastAsia" w:hAnsi="Times New Roman" w:cs="宋体"/>
              <w:lang w:val="zh-CN"/>
            </w:rPr>
            <w:t>附录</w:t>
          </w:r>
          <w:r>
            <w:rPr>
              <w:rFonts w:hint="eastAsia" w:hAnsi="Times New Roman" w:cs="宋体"/>
            </w:rPr>
            <w:t xml:space="preserve"> </w:t>
          </w:r>
          <w:r>
            <w:rPr>
              <w:rFonts w:hint="eastAsia" w:hAnsi="Times New Roman" w:cs="宋体"/>
              <w:lang w:val="zh-CN"/>
            </w:rPr>
            <w:t>A</w:t>
          </w:r>
          <w:r>
            <w:rPr>
              <w:rFonts w:hint="eastAsia" w:hAnsi="Times New Roman" w:cs="宋体"/>
            </w:rPr>
            <w:t xml:space="preserve"> </w:t>
          </w:r>
          <w:r>
            <w:rPr>
              <w:rFonts w:hint="eastAsia" w:hAnsi="Times New Roman" w:cs="宋体"/>
              <w:lang w:val="zh-CN"/>
            </w:rPr>
            <w:t>（资料性</w:t>
          </w:r>
          <w:r>
            <w:rPr>
              <w:rFonts w:hint="eastAsia" w:hAnsi="Times New Roman" w:cs="宋体"/>
            </w:rPr>
            <w:t>）</w:t>
          </w:r>
          <w:r>
            <w:rPr>
              <w:rFonts w:hAnsi="Times New Roman" w:cs="宋体"/>
            </w:rPr>
            <w:t>雪地轮胎产品碳足迹量化数据收集表</w:t>
          </w:r>
          <w:r>
            <w:rPr>
              <w:rFonts w:hint="eastAsia" w:hAnsi="Times New Roman" w:cs="宋体"/>
              <w:lang w:val="zh-CN"/>
            </w:rPr>
            <w:tab/>
          </w:r>
          <w:r>
            <w:rPr>
              <w:rFonts w:hint="eastAsia" w:hAnsi="Times New Roman" w:cs="宋体"/>
              <w:lang w:val="zh-CN"/>
            </w:rPr>
            <w:fldChar w:fldCharType="begin"/>
          </w:r>
          <w:r>
            <w:rPr>
              <w:rFonts w:hint="eastAsia" w:hAnsi="Times New Roman" w:cs="宋体"/>
              <w:lang w:val="zh-CN"/>
            </w:rPr>
            <w:instrText xml:space="preserve"> PAGEREF _Toc17855 \h </w:instrText>
          </w:r>
          <w:r>
            <w:rPr>
              <w:rFonts w:hint="eastAsia" w:hAnsi="Times New Roman" w:cs="宋体"/>
              <w:lang w:val="zh-CN"/>
            </w:rPr>
            <w:fldChar w:fldCharType="separate"/>
          </w:r>
          <w:r>
            <w:rPr>
              <w:rFonts w:hAnsi="Times New Roman" w:cs="宋体"/>
              <w:lang w:val="zh-CN"/>
            </w:rPr>
            <w:t>12</w:t>
          </w:r>
          <w:r>
            <w:rPr>
              <w:rFonts w:hint="eastAsia" w:hAnsi="Times New Roman" w:cs="宋体"/>
              <w:lang w:val="zh-CN"/>
            </w:rPr>
            <w:fldChar w:fldCharType="end"/>
          </w:r>
          <w:r>
            <w:rPr>
              <w:rFonts w:hint="eastAsia" w:hAnsi="Times New Roman" w:cs="宋体"/>
              <w:lang w:val="zh-CN"/>
            </w:rPr>
            <w:fldChar w:fldCharType="end"/>
          </w:r>
        </w:p>
        <w:p>
          <w:pPr>
            <w:pStyle w:val="8"/>
            <w:tabs>
              <w:tab w:val="right" w:leader="dot" w:pos="9638"/>
              <w:tab w:val="clear" w:pos="8296"/>
            </w:tabs>
            <w:spacing w:line="480" w:lineRule="auto"/>
            <w:rPr>
              <w:rFonts w:hAnsi="Times New Roman" w:cs="宋体"/>
              <w:lang w:val="zh-CN"/>
            </w:rPr>
          </w:pPr>
          <w:r>
            <w:fldChar w:fldCharType="begin"/>
          </w:r>
          <w:r>
            <w:instrText xml:space="preserve"> HYPERLINK \l "_Toc15372" </w:instrText>
          </w:r>
          <w:r>
            <w:fldChar w:fldCharType="separate"/>
          </w:r>
          <w:r>
            <w:rPr>
              <w:rFonts w:hint="eastAsia" w:hAnsi="Times New Roman" w:cs="宋体"/>
              <w:lang w:val="zh-CN"/>
            </w:rPr>
            <w:t>附录 B</w:t>
          </w:r>
          <w:r>
            <w:rPr>
              <w:rFonts w:hint="eastAsia" w:hAnsi="Times New Roman" w:cs="宋体"/>
            </w:rPr>
            <w:t xml:space="preserve"> </w:t>
          </w:r>
          <w:r>
            <w:rPr>
              <w:rFonts w:hint="eastAsia" w:hAnsi="Times New Roman" w:cs="宋体"/>
              <w:lang w:val="zh-CN"/>
            </w:rPr>
            <w:t>（资料性</w:t>
          </w:r>
          <w:r>
            <w:rPr>
              <w:rFonts w:hint="eastAsia" w:hAnsi="Times New Roman" w:cs="宋体"/>
            </w:rPr>
            <w:t>）</w:t>
          </w:r>
          <w:r>
            <w:rPr>
              <w:rFonts w:hint="eastAsia" w:hAnsi="Times New Roman" w:cs="宋体"/>
              <w:lang w:val="zh-CN"/>
            </w:rPr>
            <w:t>常用参数参考值</w:t>
          </w:r>
          <w:r>
            <w:rPr>
              <w:rFonts w:hint="eastAsia" w:hAnsi="Times New Roman" w:cs="宋体"/>
              <w:lang w:val="zh-CN"/>
            </w:rPr>
            <w:tab/>
          </w:r>
          <w:r>
            <w:rPr>
              <w:rFonts w:hint="eastAsia" w:hAnsi="Times New Roman" w:cs="宋体"/>
              <w:lang w:val="zh-CN"/>
            </w:rPr>
            <w:fldChar w:fldCharType="begin"/>
          </w:r>
          <w:r>
            <w:rPr>
              <w:rFonts w:hint="eastAsia" w:hAnsi="Times New Roman" w:cs="宋体"/>
              <w:lang w:val="zh-CN"/>
            </w:rPr>
            <w:instrText xml:space="preserve"> PAGEREF _Toc15372 \h </w:instrText>
          </w:r>
          <w:r>
            <w:rPr>
              <w:rFonts w:hint="eastAsia" w:hAnsi="Times New Roman" w:cs="宋体"/>
              <w:lang w:val="zh-CN"/>
            </w:rPr>
            <w:fldChar w:fldCharType="separate"/>
          </w:r>
          <w:r>
            <w:rPr>
              <w:rFonts w:hAnsi="Times New Roman" w:cs="宋体"/>
              <w:lang w:val="zh-CN"/>
            </w:rPr>
            <w:t>15</w:t>
          </w:r>
          <w:r>
            <w:rPr>
              <w:rFonts w:hint="eastAsia" w:hAnsi="Times New Roman" w:cs="宋体"/>
              <w:lang w:val="zh-CN"/>
            </w:rPr>
            <w:fldChar w:fldCharType="end"/>
          </w:r>
          <w:r>
            <w:rPr>
              <w:rFonts w:hint="eastAsia" w:hAnsi="Times New Roman" w:cs="宋体"/>
              <w:lang w:val="zh-CN"/>
            </w:rPr>
            <w:fldChar w:fldCharType="end"/>
          </w:r>
        </w:p>
        <w:p>
          <w:pPr>
            <w:pStyle w:val="8"/>
            <w:tabs>
              <w:tab w:val="right" w:leader="dot" w:pos="9638"/>
              <w:tab w:val="clear" w:pos="8296"/>
            </w:tabs>
            <w:spacing w:line="480" w:lineRule="auto"/>
            <w:rPr>
              <w:rFonts w:hAnsi="Times New Roman" w:cs="宋体"/>
              <w:lang w:val="zh-CN"/>
            </w:rPr>
          </w:pPr>
          <w:r>
            <w:fldChar w:fldCharType="begin"/>
          </w:r>
          <w:r>
            <w:instrText xml:space="preserve"> HYPERLINK \l "_Toc10760" </w:instrText>
          </w:r>
          <w:r>
            <w:fldChar w:fldCharType="separate"/>
          </w:r>
          <w:r>
            <w:rPr>
              <w:rFonts w:hint="eastAsia" w:hAnsi="Times New Roman" w:cs="宋体"/>
              <w:lang w:val="zh-CN"/>
            </w:rPr>
            <w:t xml:space="preserve">附录 </w:t>
          </w:r>
          <w:r>
            <w:rPr>
              <w:rFonts w:hAnsi="Times New Roman" w:cs="宋体"/>
              <w:lang w:val="zh-CN"/>
            </w:rPr>
            <w:t>C</w:t>
          </w:r>
          <w:r>
            <w:rPr>
              <w:rFonts w:hint="eastAsia" w:hAnsi="Times New Roman" w:cs="宋体"/>
            </w:rPr>
            <w:t xml:space="preserve"> </w:t>
          </w:r>
          <w:r>
            <w:rPr>
              <w:rFonts w:hint="eastAsia" w:hAnsi="Times New Roman" w:cs="宋体"/>
              <w:lang w:val="zh-CN"/>
            </w:rPr>
            <w:t>（资料性）</w:t>
          </w:r>
          <w:r>
            <w:rPr>
              <w:rFonts w:hAnsi="Times New Roman" w:cs="宋体"/>
            </w:rPr>
            <w:t>雪地轮胎</w:t>
          </w:r>
          <w:r>
            <w:rPr>
              <w:rFonts w:hint="eastAsia" w:hAnsi="Times New Roman" w:cs="宋体"/>
              <w:lang w:val="zh-CN"/>
            </w:rPr>
            <w:t>产品碳足迹</w:t>
          </w:r>
          <w:r>
            <w:rPr>
              <w:rFonts w:hAnsi="Times New Roman" w:cs="宋体"/>
            </w:rPr>
            <w:t>量化</w:t>
          </w:r>
          <w:r>
            <w:rPr>
              <w:rFonts w:hint="eastAsia" w:hAnsi="Times New Roman" w:cs="宋体"/>
              <w:lang w:val="zh-CN"/>
            </w:rPr>
            <w:t>报告模板</w:t>
          </w:r>
          <w:r>
            <w:rPr>
              <w:rFonts w:hint="eastAsia" w:hAnsi="Times New Roman" w:cs="宋体"/>
              <w:lang w:val="zh-CN"/>
            </w:rPr>
            <w:tab/>
          </w:r>
          <w:r>
            <w:rPr>
              <w:rFonts w:hint="eastAsia" w:hAnsi="Times New Roman" w:cs="宋体"/>
              <w:lang w:val="zh-CN"/>
            </w:rPr>
            <w:fldChar w:fldCharType="begin"/>
          </w:r>
          <w:r>
            <w:rPr>
              <w:rFonts w:hint="eastAsia" w:hAnsi="Times New Roman" w:cs="宋体"/>
              <w:lang w:val="zh-CN"/>
            </w:rPr>
            <w:instrText xml:space="preserve"> PAGEREF _Toc10760 \h </w:instrText>
          </w:r>
          <w:r>
            <w:rPr>
              <w:rFonts w:hint="eastAsia" w:hAnsi="Times New Roman" w:cs="宋体"/>
              <w:lang w:val="zh-CN"/>
            </w:rPr>
            <w:fldChar w:fldCharType="separate"/>
          </w:r>
          <w:r>
            <w:rPr>
              <w:rFonts w:hAnsi="Times New Roman" w:cs="宋体"/>
              <w:lang w:val="zh-CN"/>
            </w:rPr>
            <w:t>17</w:t>
          </w:r>
          <w:r>
            <w:rPr>
              <w:rFonts w:hint="eastAsia" w:hAnsi="Times New Roman" w:cs="宋体"/>
              <w:lang w:val="zh-CN"/>
            </w:rPr>
            <w:fldChar w:fldCharType="end"/>
          </w:r>
          <w:r>
            <w:rPr>
              <w:rFonts w:hint="eastAsia" w:hAnsi="Times New Roman" w:cs="宋体"/>
              <w:lang w:val="zh-CN"/>
            </w:rPr>
            <w:fldChar w:fldCharType="end"/>
          </w:r>
        </w:p>
        <w:p>
          <w:pPr>
            <w:pStyle w:val="8"/>
            <w:tabs>
              <w:tab w:val="right" w:leader="dot" w:pos="9638"/>
              <w:tab w:val="clear" w:pos="8296"/>
            </w:tabs>
            <w:spacing w:line="480" w:lineRule="auto"/>
            <w:rPr>
              <w:rFonts w:hAnsi="Times New Roman" w:cs="宋体"/>
              <w:lang w:val="zh-CN"/>
            </w:rPr>
          </w:pPr>
          <w:r>
            <w:fldChar w:fldCharType="begin"/>
          </w:r>
          <w:r>
            <w:instrText xml:space="preserve"> HYPERLINK \l "_Toc2650" </w:instrText>
          </w:r>
          <w:r>
            <w:fldChar w:fldCharType="separate"/>
          </w:r>
          <w:r>
            <w:rPr>
              <w:rFonts w:hint="eastAsia" w:hAnsi="Times New Roman" w:cs="宋体"/>
              <w:lang w:val="zh-CN"/>
            </w:rPr>
            <w:t>附录</w:t>
          </w:r>
          <w:r>
            <w:rPr>
              <w:rFonts w:hint="eastAsia" w:hAnsi="Times New Roman" w:cs="宋体"/>
            </w:rPr>
            <w:t xml:space="preserve"> D （</w:t>
          </w:r>
          <w:r>
            <w:rPr>
              <w:rFonts w:hint="eastAsia" w:hAnsi="Times New Roman" w:cs="宋体"/>
              <w:lang w:val="zh-CN"/>
            </w:rPr>
            <w:t>资料性）全球增温潜势值</w:t>
          </w:r>
          <w:r>
            <w:rPr>
              <w:rFonts w:hint="eastAsia" w:hAnsi="Times New Roman" w:cs="宋体"/>
              <w:lang w:val="zh-CN"/>
            </w:rPr>
            <w:tab/>
          </w:r>
          <w:r>
            <w:rPr>
              <w:rFonts w:hint="eastAsia" w:hAnsi="Times New Roman" w:cs="宋体"/>
              <w:lang w:val="zh-CN"/>
            </w:rPr>
            <w:fldChar w:fldCharType="begin"/>
          </w:r>
          <w:r>
            <w:rPr>
              <w:rFonts w:hint="eastAsia" w:hAnsi="Times New Roman" w:cs="宋体"/>
              <w:lang w:val="zh-CN"/>
            </w:rPr>
            <w:instrText xml:space="preserve"> PAGEREF _Toc2650 \h </w:instrText>
          </w:r>
          <w:r>
            <w:rPr>
              <w:rFonts w:hint="eastAsia" w:hAnsi="Times New Roman" w:cs="宋体"/>
              <w:lang w:val="zh-CN"/>
            </w:rPr>
            <w:fldChar w:fldCharType="separate"/>
          </w:r>
          <w:r>
            <w:rPr>
              <w:rFonts w:hAnsi="Times New Roman" w:cs="宋体"/>
              <w:lang w:val="zh-CN"/>
            </w:rPr>
            <w:t>22</w:t>
          </w:r>
          <w:r>
            <w:rPr>
              <w:rFonts w:hint="eastAsia" w:hAnsi="Times New Roman" w:cs="宋体"/>
              <w:lang w:val="zh-CN"/>
            </w:rPr>
            <w:fldChar w:fldCharType="end"/>
          </w:r>
          <w:r>
            <w:rPr>
              <w:rFonts w:hint="eastAsia" w:hAnsi="Times New Roman" w:cs="宋体"/>
              <w:lang w:val="zh-CN"/>
            </w:rPr>
            <w:fldChar w:fldCharType="end"/>
          </w:r>
        </w:p>
        <w:p>
          <w:pPr>
            <w:pStyle w:val="8"/>
            <w:tabs>
              <w:tab w:val="right" w:leader="dot" w:pos="9638"/>
              <w:tab w:val="clear" w:pos="8296"/>
            </w:tabs>
            <w:spacing w:line="480" w:lineRule="auto"/>
            <w:rPr>
              <w:rFonts w:hAnsi="Times New Roman" w:cs="宋体"/>
              <w:lang w:val="zh-CN"/>
            </w:rPr>
          </w:pPr>
          <w:r>
            <w:fldChar w:fldCharType="begin"/>
          </w:r>
          <w:r>
            <w:instrText xml:space="preserve"> HYPERLINK \l "_Toc32439" </w:instrText>
          </w:r>
          <w:r>
            <w:fldChar w:fldCharType="separate"/>
          </w:r>
          <w:r>
            <w:rPr>
              <w:rFonts w:hint="eastAsia" w:hAnsi="Times New Roman" w:cs="宋体"/>
              <w:lang w:val="zh-CN"/>
            </w:rPr>
            <w:t>附录</w:t>
          </w:r>
          <w:r>
            <w:rPr>
              <w:rFonts w:hint="eastAsia" w:hAnsi="Times New Roman" w:cs="宋体"/>
            </w:rPr>
            <w:t xml:space="preserve"> E </w:t>
          </w:r>
          <w:r>
            <w:rPr>
              <w:rFonts w:hint="eastAsia" w:hAnsi="Times New Roman" w:cs="宋体"/>
              <w:lang w:val="zh-CN"/>
            </w:rPr>
            <w:t>（资料性</w:t>
          </w:r>
          <w:r>
            <w:rPr>
              <w:rFonts w:hint="eastAsia" w:hAnsi="Times New Roman" w:cs="宋体"/>
            </w:rPr>
            <w:t>）</w:t>
          </w:r>
          <w:r>
            <w:rPr>
              <w:rFonts w:hint="eastAsia" w:hAnsi="Times New Roman" w:cs="宋体"/>
              <w:lang w:val="zh-CN"/>
            </w:rPr>
            <w:t>数据质量等级</w:t>
          </w:r>
          <w:r>
            <w:rPr>
              <w:rFonts w:hint="eastAsia" w:hAnsi="Times New Roman" w:cs="宋体"/>
              <w:lang w:val="zh-CN"/>
            </w:rPr>
            <w:tab/>
          </w:r>
          <w:r>
            <w:rPr>
              <w:rFonts w:hint="eastAsia" w:hAnsi="Times New Roman" w:cs="宋体"/>
              <w:lang w:val="zh-CN"/>
            </w:rPr>
            <w:fldChar w:fldCharType="begin"/>
          </w:r>
          <w:r>
            <w:rPr>
              <w:rFonts w:hint="eastAsia" w:hAnsi="Times New Roman" w:cs="宋体"/>
              <w:lang w:val="zh-CN"/>
            </w:rPr>
            <w:instrText xml:space="preserve"> PAGEREF _Toc32439 \h </w:instrText>
          </w:r>
          <w:r>
            <w:rPr>
              <w:rFonts w:hint="eastAsia" w:hAnsi="Times New Roman" w:cs="宋体"/>
              <w:lang w:val="zh-CN"/>
            </w:rPr>
            <w:fldChar w:fldCharType="separate"/>
          </w:r>
          <w:r>
            <w:rPr>
              <w:rFonts w:hAnsi="Times New Roman" w:cs="宋体"/>
              <w:lang w:val="zh-CN"/>
            </w:rPr>
            <w:t>25</w:t>
          </w:r>
          <w:r>
            <w:rPr>
              <w:rFonts w:hint="eastAsia" w:hAnsi="Times New Roman" w:cs="宋体"/>
              <w:lang w:val="zh-CN"/>
            </w:rPr>
            <w:fldChar w:fldCharType="end"/>
          </w:r>
          <w:r>
            <w:rPr>
              <w:rFonts w:hint="eastAsia" w:hAnsi="Times New Roman" w:cs="宋体"/>
              <w:lang w:val="zh-CN"/>
            </w:rPr>
            <w:fldChar w:fldCharType="end"/>
          </w:r>
        </w:p>
        <w:p>
          <w:pPr>
            <w:pStyle w:val="8"/>
            <w:tabs>
              <w:tab w:val="right" w:leader="dot" w:pos="9638"/>
              <w:tab w:val="clear" w:pos="8296"/>
            </w:tabs>
            <w:spacing w:line="480" w:lineRule="auto"/>
          </w:pPr>
          <w:r>
            <w:fldChar w:fldCharType="begin"/>
          </w:r>
          <w:r>
            <w:instrText xml:space="preserve"> HYPERLINK \l "_Toc14967" </w:instrText>
          </w:r>
          <w:r>
            <w:fldChar w:fldCharType="separate"/>
          </w:r>
          <w:r>
            <w:rPr>
              <w:rFonts w:hint="eastAsia" w:hAnsi="Times New Roman" w:cs="宋体"/>
              <w:lang w:val="zh-CN"/>
            </w:rPr>
            <w:t>附录</w:t>
          </w:r>
          <w:r>
            <w:rPr>
              <w:rFonts w:hint="eastAsia" w:hAnsi="Times New Roman" w:cs="宋体"/>
            </w:rPr>
            <w:t xml:space="preserve"> F </w:t>
          </w:r>
          <w:r>
            <w:rPr>
              <w:rFonts w:hint="eastAsia" w:hAnsi="Times New Roman" w:cs="宋体"/>
              <w:lang w:val="zh-CN"/>
            </w:rPr>
            <w:t>（资料性</w:t>
          </w:r>
          <w:r>
            <w:rPr>
              <w:rFonts w:hint="eastAsia" w:hAnsi="Times New Roman" w:cs="宋体"/>
            </w:rPr>
            <w:t>）</w:t>
          </w:r>
          <w:r>
            <w:rPr>
              <w:rFonts w:hint="eastAsia" w:hAnsi="Times New Roman" w:cs="宋体"/>
              <w:lang w:val="zh-CN"/>
            </w:rPr>
            <w:t>不确定度评定方法及示例</w:t>
          </w:r>
          <w:r>
            <w:rPr>
              <w:rFonts w:hint="eastAsia" w:hAnsi="Times New Roman" w:cs="宋体"/>
              <w:lang w:val="zh-CN"/>
            </w:rPr>
            <w:tab/>
          </w:r>
          <w:r>
            <w:rPr>
              <w:rFonts w:hint="eastAsia" w:hAnsi="Times New Roman" w:cs="宋体"/>
              <w:lang w:val="zh-CN"/>
            </w:rPr>
            <w:fldChar w:fldCharType="begin"/>
          </w:r>
          <w:r>
            <w:rPr>
              <w:rFonts w:hint="eastAsia" w:hAnsi="Times New Roman" w:cs="宋体"/>
              <w:lang w:val="zh-CN"/>
            </w:rPr>
            <w:instrText xml:space="preserve"> PAGEREF _Toc14967 \h </w:instrText>
          </w:r>
          <w:r>
            <w:rPr>
              <w:rFonts w:hint="eastAsia" w:hAnsi="Times New Roman" w:cs="宋体"/>
              <w:lang w:val="zh-CN"/>
            </w:rPr>
            <w:fldChar w:fldCharType="separate"/>
          </w:r>
          <w:r>
            <w:rPr>
              <w:rFonts w:hAnsi="Times New Roman" w:cs="宋体"/>
              <w:lang w:val="zh-CN"/>
            </w:rPr>
            <w:t>26</w:t>
          </w:r>
          <w:r>
            <w:rPr>
              <w:rFonts w:hint="eastAsia" w:hAnsi="Times New Roman" w:cs="宋体"/>
              <w:lang w:val="zh-CN"/>
            </w:rPr>
            <w:fldChar w:fldCharType="end"/>
          </w:r>
          <w:r>
            <w:rPr>
              <w:rFonts w:hint="eastAsia" w:hAnsi="Times New Roman" w:cs="宋体"/>
              <w:lang w:val="zh-CN"/>
            </w:rPr>
            <w:fldChar w:fldCharType="end"/>
          </w:r>
        </w:p>
        <w:p>
          <w:pPr>
            <w:pStyle w:val="8"/>
          </w:pPr>
          <w:r>
            <w:rPr>
              <w:rFonts w:hint="eastAsia"/>
            </w:rPr>
            <w:fldChar w:fldCharType="end"/>
          </w:r>
        </w:p>
      </w:sdtContent>
    </w:sdt>
    <w:p/>
    <w:p/>
    <w:p>
      <w:pPr>
        <w:tabs>
          <w:tab w:val="left" w:pos="7245"/>
        </w:tabs>
      </w:pPr>
      <w:r>
        <w:tab/>
      </w:r>
    </w:p>
    <w:p/>
    <w:p>
      <w:pPr>
        <w:sectPr>
          <w:footerReference r:id="rId11" w:type="default"/>
          <w:footerReference r:id="rId12" w:type="even"/>
          <w:pgSz w:w="11906" w:h="16838"/>
          <w:pgMar w:top="1134" w:right="1134" w:bottom="1134" w:left="1134" w:header="851" w:footer="992" w:gutter="0"/>
          <w:pgNumType w:fmt="upperRoman" w:start="1"/>
          <w:cols w:space="425" w:num="1"/>
          <w:docGrid w:linePitch="326" w:charSpace="0"/>
        </w:sectPr>
      </w:pPr>
    </w:p>
    <w:p>
      <w:pPr>
        <w:spacing w:before="240" w:beforeLines="100" w:after="240" w:afterLines="100" w:line="594" w:lineRule="exact"/>
        <w:ind w:firstLine="880"/>
        <w:jc w:val="center"/>
        <w:rPr>
          <w:rFonts w:ascii="黑体" w:hAnsi="黑体" w:eastAsia="黑体"/>
          <w:sz w:val="44"/>
          <w:szCs w:val="44"/>
        </w:rPr>
      </w:pPr>
      <w:bookmarkStart w:id="2" w:name="_Toc12289641"/>
      <w:bookmarkStart w:id="3" w:name="_Toc511806822"/>
      <w:bookmarkStart w:id="4" w:name="_Toc511807125"/>
      <w:r>
        <w:rPr>
          <w:rFonts w:hint="eastAsia" w:ascii="黑体" w:hAnsi="黑体" w:eastAsia="黑体"/>
          <w:sz w:val="44"/>
          <w:szCs w:val="44"/>
        </w:rPr>
        <w:t>引   言</w:t>
      </w:r>
      <w:bookmarkEnd w:id="1"/>
      <w:bookmarkEnd w:id="2"/>
      <w:bookmarkEnd w:id="3"/>
      <w:bookmarkEnd w:id="4"/>
    </w:p>
    <w:p>
      <w:pPr>
        <w:spacing w:line="594" w:lineRule="exact"/>
        <w:ind w:firstLine="480" w:firstLineChars="200"/>
        <w:rPr>
          <w:rFonts w:cs="Times New Roman" w:asciiTheme="minorEastAsia" w:hAnsiTheme="minorEastAsia"/>
          <w:sz w:val="24"/>
          <w:szCs w:val="24"/>
        </w:rPr>
      </w:pPr>
      <w:r>
        <w:rPr>
          <w:rFonts w:cs="Times New Roman" w:asciiTheme="minorEastAsia" w:hAnsiTheme="minorEastAsia"/>
          <w:sz w:val="24"/>
          <w:szCs w:val="24"/>
        </w:rPr>
        <w:t>JJF 1001—2011《通用计量术语及定义》、JJF 1071—2010《国家计量校准规范编写规则》、和JJF 1059.1—2012《测量不确定度评定与表示》共同构成制定本规范的基础性规范。</w:t>
      </w:r>
    </w:p>
    <w:p>
      <w:pPr>
        <w:autoSpaceDE w:val="0"/>
        <w:autoSpaceDN w:val="0"/>
        <w:adjustRightInd w:val="0"/>
        <w:spacing w:line="594" w:lineRule="exact"/>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本规范为首次发布。</w:t>
      </w:r>
    </w:p>
    <w:p>
      <w:pPr>
        <w:autoSpaceDE w:val="0"/>
        <w:autoSpaceDN w:val="0"/>
        <w:adjustRightInd w:val="0"/>
        <w:ind w:firstLine="640"/>
        <w:jc w:val="center"/>
        <w:rPr>
          <w:rFonts w:cs="黑体" w:asciiTheme="minorEastAsia" w:hAnsiTheme="minorEastAsia"/>
          <w:kern w:val="0"/>
          <w:sz w:val="32"/>
          <w:szCs w:val="32"/>
        </w:rPr>
      </w:pPr>
    </w:p>
    <w:p>
      <w:pPr>
        <w:autoSpaceDE w:val="0"/>
        <w:autoSpaceDN w:val="0"/>
        <w:adjustRightInd w:val="0"/>
        <w:ind w:firstLine="640"/>
        <w:jc w:val="center"/>
        <w:rPr>
          <w:rFonts w:ascii="黑体" w:eastAsia="黑体" w:cs="黑体"/>
          <w:kern w:val="0"/>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sectPr>
          <w:footerReference r:id="rId13" w:type="default"/>
          <w:pgSz w:w="11906" w:h="16838"/>
          <w:pgMar w:top="1134" w:right="1134" w:bottom="1134" w:left="1134" w:header="851" w:footer="992" w:gutter="0"/>
          <w:pgNumType w:fmt="upperRoman"/>
          <w:cols w:space="425" w:num="1"/>
          <w:docGrid w:linePitch="326" w:charSpace="0"/>
        </w:sectPr>
      </w:pPr>
    </w:p>
    <w:p>
      <w:pPr>
        <w:pStyle w:val="9"/>
        <w:spacing w:beforeLines="100" w:after="240" w:afterLines="100" w:line="594" w:lineRule="exact"/>
        <w:ind w:firstLine="640"/>
        <w:outlineLvl w:val="9"/>
        <w:rPr>
          <w:b w:val="0"/>
        </w:rPr>
      </w:pPr>
      <w:r>
        <w:rPr>
          <w:rFonts w:hint="eastAsia"/>
          <w:b w:val="0"/>
        </w:rPr>
        <w:t>温室气体 产品碳足迹量化方法与要求 雪地轮胎</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5" w:name="_Toc12289642"/>
      <w:bookmarkStart w:id="6" w:name="_Toc511806824"/>
      <w:bookmarkStart w:id="7" w:name="_Toc29781"/>
      <w:bookmarkStart w:id="8" w:name="_Toc511807127"/>
      <w:bookmarkStart w:id="9" w:name="_Toc496642770"/>
      <w:r>
        <w:rPr>
          <w:rFonts w:ascii="Times New Roman" w:hAnsi="Times New Roman" w:cs="Times New Roman"/>
        </w:rPr>
        <w:t>范围</w:t>
      </w:r>
      <w:bookmarkEnd w:id="5"/>
      <w:bookmarkEnd w:id="6"/>
      <w:bookmarkEnd w:id="7"/>
      <w:bookmarkEnd w:id="8"/>
      <w:bookmarkEnd w:id="9"/>
    </w:p>
    <w:p>
      <w:pPr>
        <w:spacing w:line="360" w:lineRule="auto"/>
        <w:ind w:firstLine="480" w:firstLineChars="200"/>
        <w:rPr>
          <w:sz w:val="24"/>
          <w:szCs w:val="24"/>
        </w:rPr>
      </w:pPr>
      <w:r>
        <w:rPr>
          <w:rFonts w:hint="eastAsia"/>
          <w:sz w:val="24"/>
          <w:szCs w:val="24"/>
        </w:rPr>
        <w:t>本规范规定了雪地轮胎产品碳足迹核算术语、量化原则及范围、数据和数据质量、量化方法、报告格式、不确定度评定方法</w:t>
      </w:r>
      <w:r>
        <w:rPr>
          <w:sz w:val="24"/>
          <w:szCs w:val="24"/>
        </w:rPr>
        <w:t>等内容</w:t>
      </w:r>
      <w:r>
        <w:rPr>
          <w:rFonts w:hint="eastAsia"/>
          <w:sz w:val="24"/>
          <w:szCs w:val="24"/>
        </w:rPr>
        <w:t>。</w:t>
      </w:r>
    </w:p>
    <w:p>
      <w:pPr>
        <w:spacing w:line="360" w:lineRule="auto"/>
        <w:ind w:firstLine="480" w:firstLineChars="200"/>
        <w:rPr>
          <w:sz w:val="24"/>
          <w:szCs w:val="24"/>
        </w:rPr>
      </w:pPr>
      <w:r>
        <w:rPr>
          <w:rFonts w:hint="eastAsia"/>
          <w:sz w:val="24"/>
          <w:szCs w:val="24"/>
        </w:rPr>
        <w:t>本规范适用于雪地轮胎产品的碳足迹</w:t>
      </w:r>
      <w:r>
        <w:rPr>
          <w:sz w:val="24"/>
          <w:szCs w:val="24"/>
        </w:rPr>
        <w:t>量化</w:t>
      </w:r>
      <w:r>
        <w:rPr>
          <w:rFonts w:hint="eastAsia"/>
          <w:sz w:val="24"/>
          <w:szCs w:val="24"/>
        </w:rPr>
        <w:t>。其他轮胎如雪泥轮胎、冰地轮胎等可参考本文件执行。</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10" w:name="_Toc496642771"/>
      <w:bookmarkStart w:id="11" w:name="_Toc511807128"/>
      <w:bookmarkStart w:id="12" w:name="_Toc511806825"/>
      <w:bookmarkStart w:id="13" w:name="_Toc12289643"/>
      <w:bookmarkStart w:id="14" w:name="_Toc30191"/>
      <w:r>
        <w:rPr>
          <w:rFonts w:ascii="Times New Roman" w:hAnsi="Times New Roman" w:cs="Times New Roman"/>
        </w:rPr>
        <w:t>引用文</w:t>
      </w:r>
      <w:bookmarkEnd w:id="10"/>
      <w:bookmarkEnd w:id="11"/>
      <w:bookmarkEnd w:id="12"/>
      <w:r>
        <w:rPr>
          <w:rFonts w:ascii="Times New Roman" w:hAnsi="Times New Roman" w:cs="Times New Roman"/>
        </w:rPr>
        <w:t>件</w:t>
      </w:r>
      <w:bookmarkEnd w:id="13"/>
      <w:bookmarkEnd w:id="14"/>
    </w:p>
    <w:p>
      <w:pPr>
        <w:spacing w:line="360" w:lineRule="auto"/>
        <w:ind w:firstLine="480" w:firstLineChars="200"/>
        <w:rPr>
          <w:sz w:val="24"/>
          <w:szCs w:val="24"/>
        </w:rPr>
      </w:pPr>
      <w:r>
        <w:rPr>
          <w:rFonts w:hint="eastAsia"/>
          <w:sz w:val="24"/>
          <w:szCs w:val="24"/>
        </w:rPr>
        <w:t>本规范引用了以下文件（凡是注日期的引用文件，仅注日期的版本适用于本文件</w:t>
      </w:r>
      <w:r>
        <w:rPr>
          <w:sz w:val="24"/>
          <w:szCs w:val="24"/>
        </w:rPr>
        <w:t>。凡是</w:t>
      </w:r>
      <w:r>
        <w:rPr>
          <w:rFonts w:hint="eastAsia"/>
          <w:sz w:val="24"/>
          <w:szCs w:val="24"/>
        </w:rPr>
        <w:t>未</w:t>
      </w:r>
      <w:r>
        <w:rPr>
          <w:sz w:val="24"/>
          <w:szCs w:val="24"/>
        </w:rPr>
        <w:t>注日期的引用文件</w:t>
      </w:r>
      <w:r>
        <w:rPr>
          <w:rFonts w:hint="eastAsia"/>
          <w:sz w:val="24"/>
          <w:szCs w:val="24"/>
        </w:rPr>
        <w:t>，</w:t>
      </w:r>
      <w:r>
        <w:rPr>
          <w:sz w:val="24"/>
          <w:szCs w:val="24"/>
        </w:rPr>
        <w:t>其最新版本</w:t>
      </w:r>
      <w:r>
        <w:rPr>
          <w:rFonts w:hint="eastAsia"/>
          <w:sz w:val="24"/>
          <w:szCs w:val="24"/>
        </w:rPr>
        <w:t>（</w:t>
      </w:r>
      <w:r>
        <w:rPr>
          <w:sz w:val="24"/>
          <w:szCs w:val="24"/>
        </w:rPr>
        <w:t>包括所有的修改单</w:t>
      </w:r>
      <w:r>
        <w:rPr>
          <w:rFonts w:hint="eastAsia"/>
          <w:sz w:val="24"/>
          <w:szCs w:val="24"/>
        </w:rPr>
        <w:t>）</w:t>
      </w:r>
      <w:r>
        <w:rPr>
          <w:sz w:val="24"/>
          <w:szCs w:val="24"/>
        </w:rPr>
        <w:t>适用于本文件</w:t>
      </w:r>
      <w:r>
        <w:rPr>
          <w:rFonts w:hint="eastAsia"/>
          <w:sz w:val="24"/>
          <w:szCs w:val="24"/>
        </w:rPr>
        <w:t>）：</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JJF 1001 通用计量术语及定义</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JJF 1059.1 测量不确定度评定与表示</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2977 载重汽车轮胎规格、尺寸、气压与负荷</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2978 轿车轮胎规格、尺寸、气压与负荷</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6326 轮胎术语</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18352.6 轻型汽车污染物排放限值及测量方法（中国第六阶段）</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19753 轻型混合动力电动汽车能量消耗量试验方法</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19754 重型混合动力电动汽车能量消耗量试验方法</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24067 温室气体 产品碳足迹 量化要求和指南</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29040 汽车轮胎滚动阻力试验方法 单点试验和测量结果的相关性</w:t>
      </w:r>
    </w:p>
    <w:p>
      <w:pPr>
        <w:spacing w:line="360" w:lineRule="auto"/>
        <w:ind w:firstLine="480" w:firstLineChars="200"/>
        <w:rPr>
          <w:rFonts w:ascii="Times New Roman" w:hAnsi="Times New Roman" w:cs="Times New Roman"/>
          <w:sz w:val="24"/>
          <w:szCs w:val="24"/>
        </w:rPr>
      </w:pPr>
      <w:r>
        <w:rPr>
          <w:rFonts w:ascii="Times New Roman"/>
          <w:sz w:val="24"/>
          <w:szCs w:val="24"/>
        </w:rPr>
        <w:t>GB/T 26989</w:t>
      </w:r>
      <w:r>
        <w:rPr>
          <w:rFonts w:ascii="Times New Roman" w:hAnsi="Times New Roman" w:cs="Times New Roman"/>
          <w:sz w:val="24"/>
          <w:szCs w:val="24"/>
        </w:rPr>
        <w:t xml:space="preserve"> </w:t>
      </w:r>
      <w:r>
        <w:rPr>
          <w:rFonts w:hint="eastAsia" w:ascii="Times New Roman" w:hAnsi="Times New Roman" w:cs="Times New Roman"/>
          <w:sz w:val="24"/>
          <w:szCs w:val="24"/>
        </w:rPr>
        <w:t>汽车回收利用 术语</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29042 汽车轮胎滚动阻力限值和等级</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32150 工业企业温室气体排放核算和报告通则</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38146.1 中国汽车行驶工况 第1部分：轻型汽车</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38146.2 中国汽车行驶工况 第2部分：重型商用车辆</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GB/T 42359 湿及冰雪路面试验用轿车轮胎室内磨削方法</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15" w:name="_Toc9010"/>
      <w:r>
        <w:rPr>
          <w:rFonts w:ascii="Times New Roman" w:hAnsi="Times New Roman" w:cs="Times New Roman"/>
        </w:rPr>
        <w:t xml:space="preserve">术语 </w:t>
      </w:r>
      <w:bookmarkEnd w:id="15"/>
    </w:p>
    <w:p>
      <w:pPr>
        <w:pStyle w:val="23"/>
        <w:spacing w:line="360" w:lineRule="auto"/>
        <w:ind w:firstLine="480"/>
        <w:rPr>
          <w:rFonts w:ascii="Times New Roman" w:eastAsiaTheme="minorEastAsia"/>
          <w:sz w:val="24"/>
          <w:szCs w:val="24"/>
        </w:rPr>
      </w:pPr>
      <w:r>
        <w:rPr>
          <w:rFonts w:ascii="Times New Roman" w:eastAsiaTheme="minorEastAsia"/>
          <w:sz w:val="24"/>
          <w:szCs w:val="24"/>
        </w:rPr>
        <w:t>GB/T 24040、GB/T 24067、GB/T 26989、GB/T 32150界定的术语和定义及以下术语和定义适用于本规范。</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3.1 声明单位 declared unit</w:t>
      </w:r>
    </w:p>
    <w:p>
      <w:pPr>
        <w:pStyle w:val="23"/>
        <w:spacing w:line="360" w:lineRule="auto"/>
        <w:ind w:firstLine="480"/>
        <w:jc w:val="left"/>
        <w:rPr>
          <w:rFonts w:ascii="Times New Roman" w:eastAsiaTheme="minorEastAsia"/>
          <w:sz w:val="24"/>
          <w:szCs w:val="24"/>
        </w:rPr>
      </w:pPr>
      <w:r>
        <w:rPr>
          <w:rFonts w:ascii="Times New Roman" w:eastAsiaTheme="minorEastAsia"/>
          <w:sz w:val="24"/>
          <w:szCs w:val="24"/>
        </w:rPr>
        <w:t>用来量化产品部分碳足迹的基准单位。</w:t>
      </w:r>
    </w:p>
    <w:p>
      <w:pPr>
        <w:pStyle w:val="23"/>
        <w:spacing w:line="360" w:lineRule="auto"/>
        <w:ind w:firstLine="600" w:firstLineChars="300"/>
        <w:jc w:val="left"/>
        <w:rPr>
          <w:rFonts w:ascii="Times New Roman" w:eastAsiaTheme="minorEastAsia"/>
          <w:sz w:val="20"/>
        </w:rPr>
      </w:pPr>
      <w:r>
        <w:rPr>
          <w:rFonts w:ascii="Times New Roman" w:eastAsiaTheme="minorEastAsia"/>
          <w:sz w:val="20"/>
        </w:rPr>
        <w:t>示例：质量（1 kg粗钢）、体积（1 L原油）、距离（1</w:t>
      </w:r>
      <w:r>
        <w:rPr>
          <w:rFonts w:hint="eastAsia" w:ascii="Times New Roman" w:eastAsiaTheme="minorEastAsia"/>
          <w:sz w:val="20"/>
        </w:rPr>
        <w:t xml:space="preserve"> </w:t>
      </w:r>
      <w:r>
        <w:rPr>
          <w:rFonts w:ascii="Times New Roman" w:eastAsiaTheme="minorEastAsia"/>
          <w:sz w:val="20"/>
        </w:rPr>
        <w:t>km行驶路程）、数量（1条轮胎）等。</w:t>
      </w:r>
    </w:p>
    <w:p>
      <w:pPr>
        <w:pStyle w:val="23"/>
        <w:spacing w:line="360" w:lineRule="auto"/>
        <w:ind w:firstLineChars="0"/>
        <w:jc w:val="left"/>
        <w:rPr>
          <w:rFonts w:ascii="Times New Roman" w:eastAsiaTheme="minorEastAsia"/>
          <w:sz w:val="24"/>
          <w:szCs w:val="24"/>
        </w:rPr>
      </w:pPr>
      <w:r>
        <w:rPr>
          <w:rFonts w:ascii="Times New Roman" w:eastAsiaTheme="minorEastAsia"/>
          <w:sz w:val="24"/>
          <w:szCs w:val="24"/>
        </w:rPr>
        <w:t xml:space="preserve"> [</w:t>
      </w:r>
      <w:r>
        <w:rPr>
          <w:rFonts w:hint="eastAsia" w:ascii="Times New Roman" w:eastAsiaTheme="minorEastAsia"/>
          <w:sz w:val="24"/>
          <w:szCs w:val="24"/>
        </w:rPr>
        <w:t>GB/T 24067</w:t>
      </w:r>
      <w:r>
        <w:rPr>
          <w:rFonts w:ascii="Times New Roman" w:eastAsiaTheme="minorEastAsia"/>
          <w:sz w:val="24"/>
          <w:szCs w:val="24"/>
        </w:rPr>
        <w:t>，</w:t>
      </w:r>
      <w:r>
        <w:rPr>
          <w:rFonts w:hint="eastAsia" w:ascii="Times New Roman" w:eastAsiaTheme="minorEastAsia"/>
          <w:sz w:val="24"/>
          <w:szCs w:val="24"/>
        </w:rPr>
        <w:t>3.3.8</w:t>
      </w:r>
      <w:r>
        <w:rPr>
          <w:rFonts w:ascii="Times New Roman" w:eastAsiaTheme="minorEastAsia"/>
          <w:sz w:val="24"/>
          <w:szCs w:val="24"/>
        </w:rPr>
        <w:t>，有修改]</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3.2 雪地轮胎 snow t</w:t>
      </w:r>
      <w:r>
        <w:rPr>
          <w:rFonts w:hint="eastAsia" w:ascii="Times New Roman" w:eastAsiaTheme="minorEastAsia"/>
          <w:sz w:val="24"/>
          <w:szCs w:val="24"/>
        </w:rPr>
        <w:t>y</w:t>
      </w:r>
      <w:r>
        <w:rPr>
          <w:rFonts w:ascii="Times New Roman" w:eastAsiaTheme="minorEastAsia"/>
          <w:sz w:val="24"/>
          <w:szCs w:val="24"/>
        </w:rPr>
        <w:t>re</w:t>
      </w:r>
    </w:p>
    <w:p>
      <w:pPr>
        <w:pStyle w:val="23"/>
        <w:spacing w:line="360" w:lineRule="auto"/>
        <w:ind w:firstLine="480"/>
        <w:jc w:val="left"/>
        <w:rPr>
          <w:rFonts w:ascii="Times New Roman" w:eastAsiaTheme="minorEastAsia"/>
          <w:sz w:val="24"/>
          <w:szCs w:val="24"/>
        </w:rPr>
      </w:pPr>
      <w:r>
        <w:rPr>
          <w:rFonts w:ascii="Times New Roman" w:eastAsiaTheme="minorEastAsia"/>
          <w:sz w:val="24"/>
          <w:szCs w:val="24"/>
        </w:rPr>
        <w:t xml:space="preserve">轮胎花纹、轮胎材料或轮胎结构特别设计，在冰雪路面或寒冷条件下，使车辆的启动、操控及控制性能方面比普通轮胎有更好的性能表现的轮胎。 </w:t>
      </w:r>
    </w:p>
    <w:p>
      <w:pPr>
        <w:pStyle w:val="23"/>
        <w:spacing w:line="360" w:lineRule="auto"/>
        <w:ind w:firstLineChars="0"/>
        <w:jc w:val="left"/>
        <w:rPr>
          <w:rFonts w:ascii="Times New Roman" w:eastAsiaTheme="minorEastAsia"/>
          <w:sz w:val="24"/>
          <w:szCs w:val="24"/>
        </w:rPr>
      </w:pPr>
      <w:r>
        <w:rPr>
          <w:rFonts w:ascii="Times New Roman" w:eastAsiaTheme="minorEastAsia"/>
          <w:sz w:val="24"/>
          <w:szCs w:val="24"/>
        </w:rPr>
        <w:t>[GB∕T 6326，4.1.8，有修改]</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 xml:space="preserve">3.3 </w:t>
      </w:r>
      <w:r>
        <w:rPr>
          <w:rFonts w:ascii="Times New Roman"/>
          <w:sz w:val="24"/>
          <w:szCs w:val="24"/>
        </w:rPr>
        <w:t>雪地轮胎</w:t>
      </w:r>
      <w:r>
        <w:rPr>
          <w:rFonts w:hint="eastAsia" w:ascii="Times New Roman" w:eastAsiaTheme="minorEastAsia"/>
          <w:sz w:val="24"/>
          <w:szCs w:val="24"/>
        </w:rPr>
        <w:t>产品生命周期碳足迹</w:t>
      </w:r>
      <w:r>
        <w:rPr>
          <w:rFonts w:ascii="Times New Roman" w:eastAsiaTheme="minorEastAsia"/>
          <w:sz w:val="24"/>
          <w:szCs w:val="24"/>
        </w:rPr>
        <w:t xml:space="preserve"> carbon footprint of snow tyre products life cycle</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 xml:space="preserve">    </w:t>
      </w:r>
      <w:r>
        <w:rPr>
          <w:rFonts w:ascii="Times New Roman"/>
          <w:sz w:val="24"/>
          <w:szCs w:val="24"/>
        </w:rPr>
        <w:t>雪地轮胎</w:t>
      </w:r>
      <w:r>
        <w:rPr>
          <w:rFonts w:hint="eastAsia" w:ascii="Times New Roman" w:eastAsiaTheme="minorEastAsia"/>
          <w:sz w:val="24"/>
          <w:szCs w:val="24"/>
        </w:rPr>
        <w:t>产品生命周期内的温室气体排放量之和（以二氧化碳当量表示）。</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 xml:space="preserve">3.4 </w:t>
      </w:r>
      <w:r>
        <w:rPr>
          <w:rFonts w:ascii="Times New Roman"/>
          <w:sz w:val="24"/>
          <w:szCs w:val="24"/>
        </w:rPr>
        <w:t>雪地轮胎</w:t>
      </w:r>
      <w:r>
        <w:rPr>
          <w:rFonts w:hint="eastAsia" w:ascii="Times New Roman" w:eastAsiaTheme="minorEastAsia"/>
          <w:sz w:val="24"/>
          <w:szCs w:val="24"/>
        </w:rPr>
        <w:t>产品</w:t>
      </w:r>
      <w:r>
        <w:rPr>
          <w:rFonts w:ascii="Times New Roman" w:eastAsiaTheme="minorEastAsia"/>
          <w:sz w:val="24"/>
          <w:szCs w:val="24"/>
        </w:rPr>
        <w:t>部分</w:t>
      </w:r>
      <w:r>
        <w:rPr>
          <w:rFonts w:hint="eastAsia" w:ascii="Times New Roman" w:eastAsiaTheme="minorEastAsia"/>
          <w:sz w:val="24"/>
          <w:szCs w:val="24"/>
        </w:rPr>
        <w:t>生命周期碳足迹</w:t>
      </w:r>
      <w:r>
        <w:rPr>
          <w:rFonts w:ascii="Times New Roman" w:eastAsiaTheme="minorEastAsia"/>
          <w:sz w:val="24"/>
          <w:szCs w:val="24"/>
        </w:rPr>
        <w:t xml:space="preserve"> partial carbon footprint of snow tyre products life cycle</w:t>
      </w:r>
      <w:r>
        <w:rPr>
          <w:position w:val="-1"/>
          <w:sz w:val="19"/>
          <w:szCs w:val="19"/>
        </w:rPr>
        <w:t xml:space="preserve"> </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 xml:space="preserve">    </w:t>
      </w:r>
      <w:r>
        <w:rPr>
          <w:rFonts w:ascii="Times New Roman"/>
          <w:sz w:val="24"/>
          <w:szCs w:val="24"/>
        </w:rPr>
        <w:t>雪地轮胎</w:t>
      </w:r>
      <w:r>
        <w:rPr>
          <w:rFonts w:hint="eastAsia" w:ascii="Times New Roman" w:eastAsiaTheme="minorEastAsia"/>
          <w:sz w:val="24"/>
          <w:szCs w:val="24"/>
        </w:rPr>
        <w:t>产品</w:t>
      </w:r>
      <w:r>
        <w:rPr>
          <w:rFonts w:ascii="Times New Roman" w:eastAsiaTheme="minorEastAsia"/>
          <w:sz w:val="24"/>
          <w:szCs w:val="24"/>
        </w:rPr>
        <w:t>生命周期内的一个或多个选定阶段或过程中的温室气体排放量之和</w:t>
      </w:r>
      <w:r>
        <w:rPr>
          <w:rFonts w:hint="eastAsia" w:ascii="Times New Roman" w:eastAsiaTheme="minorEastAsia"/>
          <w:sz w:val="24"/>
          <w:szCs w:val="24"/>
        </w:rPr>
        <w:t>（</w:t>
      </w:r>
      <w:r>
        <w:rPr>
          <w:rFonts w:ascii="Times New Roman" w:eastAsiaTheme="minorEastAsia"/>
          <w:sz w:val="24"/>
          <w:szCs w:val="24"/>
        </w:rPr>
        <w:t>以二氧化碳当量表示</w:t>
      </w:r>
      <w:r>
        <w:rPr>
          <w:rFonts w:hint="eastAsia" w:ascii="Times New Roman" w:eastAsiaTheme="minorEastAsia"/>
          <w:sz w:val="24"/>
          <w:szCs w:val="24"/>
        </w:rPr>
        <w:t>）</w:t>
      </w:r>
      <w:r>
        <w:rPr>
          <w:rFonts w:ascii="Times New Roman" w:eastAsiaTheme="minorEastAsia"/>
          <w:sz w:val="24"/>
          <w:szCs w:val="24"/>
        </w:rPr>
        <w:t>。</w:t>
      </w:r>
    </w:p>
    <w:p>
      <w:pPr>
        <w:pStyle w:val="23"/>
        <w:spacing w:line="360" w:lineRule="auto"/>
        <w:ind w:firstLine="0" w:firstLineChars="0"/>
        <w:rPr>
          <w:rFonts w:ascii="Times New Roman" w:eastAsiaTheme="minorEastAsia"/>
          <w:sz w:val="24"/>
          <w:szCs w:val="24"/>
        </w:rPr>
      </w:pPr>
      <w:r>
        <w:rPr>
          <w:rFonts w:ascii="Times New Roman"/>
          <w:sz w:val="24"/>
          <w:szCs w:val="24"/>
        </w:rPr>
        <w:t>3.5 雪地轮胎</w:t>
      </w:r>
      <w:r>
        <w:rPr>
          <w:rFonts w:hint="eastAsia" w:ascii="Times New Roman" w:eastAsiaTheme="minorEastAsia"/>
          <w:sz w:val="24"/>
          <w:szCs w:val="24"/>
        </w:rPr>
        <w:t>产品全生命周期碳足迹</w:t>
      </w:r>
      <w:r>
        <w:rPr>
          <w:rFonts w:ascii="Times New Roman" w:eastAsiaTheme="minorEastAsia"/>
          <w:sz w:val="24"/>
          <w:szCs w:val="24"/>
        </w:rPr>
        <w:t>强度 carbon footprint intensity of snow tyre products life cycle</w:t>
      </w:r>
    </w:p>
    <w:p>
      <w:pPr>
        <w:pStyle w:val="23"/>
        <w:spacing w:line="360" w:lineRule="auto"/>
        <w:ind w:firstLine="0" w:firstLineChars="0"/>
        <w:rPr>
          <w:rFonts w:ascii="Times New Roman" w:eastAsiaTheme="minorEastAsia"/>
          <w:sz w:val="24"/>
          <w:szCs w:val="24"/>
        </w:rPr>
      </w:pPr>
      <w:r>
        <w:rPr>
          <w:rFonts w:ascii="Times New Roman"/>
          <w:sz w:val="24"/>
          <w:szCs w:val="24"/>
        </w:rPr>
        <w:t xml:space="preserve">    雪地轮胎</w:t>
      </w:r>
      <w:r>
        <w:rPr>
          <w:rFonts w:hint="eastAsia" w:ascii="Times New Roman" w:eastAsiaTheme="minorEastAsia"/>
          <w:sz w:val="24"/>
          <w:szCs w:val="24"/>
        </w:rPr>
        <w:t>产品生命周期内的温室气体排放量</w:t>
      </w:r>
      <w:r>
        <w:rPr>
          <w:rFonts w:ascii="Times New Roman" w:eastAsiaTheme="minorEastAsia"/>
          <w:sz w:val="24"/>
          <w:szCs w:val="24"/>
        </w:rPr>
        <w:t>与</w:t>
      </w:r>
      <w:r>
        <w:rPr>
          <w:rFonts w:ascii="Times New Roman"/>
          <w:sz w:val="24"/>
          <w:szCs w:val="24"/>
        </w:rPr>
        <w:t>雪地轮胎</w:t>
      </w:r>
      <w:r>
        <w:rPr>
          <w:rFonts w:hint="eastAsia" w:ascii="Times New Roman" w:eastAsiaTheme="minorEastAsia"/>
          <w:sz w:val="24"/>
          <w:szCs w:val="24"/>
        </w:rPr>
        <w:t>产品</w:t>
      </w:r>
      <w:r>
        <w:rPr>
          <w:rFonts w:ascii="Times New Roman" w:eastAsiaTheme="minorEastAsia"/>
          <w:sz w:val="24"/>
          <w:szCs w:val="24"/>
        </w:rPr>
        <w:t>全生命周期内行驶里程之比。反应了长寿命</w:t>
      </w:r>
      <w:r>
        <w:rPr>
          <w:rFonts w:ascii="Times New Roman"/>
          <w:sz w:val="24"/>
          <w:szCs w:val="24"/>
        </w:rPr>
        <w:t>雪地轮胎</w:t>
      </w:r>
      <w:r>
        <w:rPr>
          <w:rFonts w:hint="eastAsia" w:ascii="Times New Roman" w:eastAsiaTheme="minorEastAsia"/>
          <w:sz w:val="24"/>
          <w:szCs w:val="24"/>
        </w:rPr>
        <w:t>产品</w:t>
      </w:r>
      <w:r>
        <w:rPr>
          <w:rFonts w:ascii="Times New Roman" w:eastAsiaTheme="minorEastAsia"/>
          <w:sz w:val="24"/>
          <w:szCs w:val="24"/>
        </w:rPr>
        <w:t>设计对</w:t>
      </w:r>
      <w:r>
        <w:rPr>
          <w:rFonts w:ascii="Times New Roman"/>
          <w:sz w:val="24"/>
          <w:szCs w:val="24"/>
        </w:rPr>
        <w:t>雪地轮胎</w:t>
      </w:r>
      <w:r>
        <w:rPr>
          <w:rFonts w:hint="eastAsia" w:ascii="Times New Roman" w:eastAsiaTheme="minorEastAsia"/>
          <w:sz w:val="24"/>
          <w:szCs w:val="24"/>
        </w:rPr>
        <w:t>产品生命周期内的温室气体排放量</w:t>
      </w:r>
      <w:r>
        <w:rPr>
          <w:rFonts w:ascii="Times New Roman" w:eastAsiaTheme="minorEastAsia"/>
          <w:sz w:val="24"/>
          <w:szCs w:val="24"/>
        </w:rPr>
        <w:t>降低的积极影响。</w:t>
      </w:r>
    </w:p>
    <w:p>
      <w:pPr>
        <w:pStyle w:val="23"/>
        <w:spacing w:line="360" w:lineRule="auto"/>
        <w:ind w:firstLine="0" w:firstLineChars="0"/>
        <w:jc w:val="left"/>
        <w:rPr>
          <w:rFonts w:ascii="Times New Roman" w:eastAsiaTheme="minorEastAsia"/>
          <w:sz w:val="24"/>
          <w:szCs w:val="24"/>
        </w:rPr>
      </w:pPr>
      <w:r>
        <w:rPr>
          <w:rFonts w:ascii="Times New Roman" w:eastAsiaTheme="minorEastAsia"/>
          <w:sz w:val="24"/>
          <w:szCs w:val="24"/>
        </w:rPr>
        <w:t>3.6</w:t>
      </w:r>
      <w:r>
        <w:rPr>
          <w:rFonts w:hint="eastAsia" w:ascii="Times New Roman" w:eastAsiaTheme="minorEastAsia"/>
          <w:sz w:val="24"/>
          <w:szCs w:val="24"/>
        </w:rPr>
        <w:t xml:space="preserve"> </w:t>
      </w:r>
      <w:r>
        <w:rPr>
          <w:rFonts w:ascii="Times New Roman" w:eastAsiaTheme="minorEastAsia"/>
          <w:sz w:val="24"/>
          <w:szCs w:val="24"/>
        </w:rPr>
        <w:t>数据质量等级</w:t>
      </w:r>
      <w:r>
        <w:rPr>
          <w:rFonts w:hint="eastAsia" w:ascii="Times New Roman" w:eastAsiaTheme="minorEastAsia"/>
          <w:sz w:val="24"/>
          <w:szCs w:val="24"/>
        </w:rPr>
        <w:t xml:space="preserve"> data quality rating</w:t>
      </w:r>
      <w:r>
        <w:rPr>
          <w:rFonts w:ascii="Times New Roman" w:eastAsiaTheme="minorEastAsia"/>
          <w:sz w:val="24"/>
          <w:szCs w:val="24"/>
        </w:rPr>
        <w:t>，DQR</w:t>
      </w:r>
    </w:p>
    <w:p>
      <w:pPr>
        <w:pStyle w:val="23"/>
        <w:spacing w:line="360" w:lineRule="auto"/>
        <w:ind w:firstLine="480"/>
        <w:jc w:val="left"/>
        <w:rPr>
          <w:rFonts w:ascii="Times New Roman" w:eastAsiaTheme="minorEastAsia"/>
          <w:sz w:val="24"/>
          <w:szCs w:val="24"/>
        </w:rPr>
      </w:pPr>
      <w:r>
        <w:rPr>
          <w:rFonts w:ascii="Times New Roman" w:eastAsiaTheme="minorEastAsia"/>
          <w:sz w:val="24"/>
          <w:szCs w:val="24"/>
        </w:rPr>
        <w:t>数据管理和质量管理的一种方法，</w:t>
      </w:r>
      <w:r>
        <w:rPr>
          <w:rFonts w:hint="eastAsia" w:ascii="Times New Roman" w:eastAsiaTheme="minorEastAsia"/>
          <w:sz w:val="24"/>
          <w:szCs w:val="24"/>
        </w:rPr>
        <w:t>主要用于评估和记录数据的准确性、完整性、一致性等核心指标。</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16" w:name="_Toc511806828"/>
      <w:bookmarkEnd w:id="16"/>
      <w:bookmarkStart w:id="17" w:name="_Toc12289644"/>
      <w:bookmarkEnd w:id="17"/>
      <w:bookmarkStart w:id="18" w:name="_Toc511807131"/>
      <w:bookmarkEnd w:id="18"/>
      <w:bookmarkStart w:id="19" w:name="_Toc496642775"/>
      <w:bookmarkEnd w:id="19"/>
      <w:bookmarkStart w:id="20" w:name="_Toc29795"/>
      <w:r>
        <w:rPr>
          <w:rFonts w:ascii="Times New Roman" w:hAnsi="Times New Roman" w:cs="Times New Roman"/>
        </w:rPr>
        <w:t>雪地轮胎产品</w:t>
      </w:r>
      <w:r>
        <w:rPr>
          <w:rFonts w:hint="eastAsia" w:ascii="Times New Roman" w:hAnsi="Times New Roman" w:cs="Times New Roman"/>
        </w:rPr>
        <w:t>碳足迹</w:t>
      </w:r>
      <w:r>
        <w:rPr>
          <w:rFonts w:ascii="Times New Roman" w:hAnsi="Times New Roman" w:cs="Times New Roman"/>
        </w:rPr>
        <w:t>量化</w:t>
      </w:r>
      <w:r>
        <w:rPr>
          <w:rFonts w:hint="eastAsia" w:ascii="Times New Roman" w:hAnsi="Times New Roman" w:cs="Times New Roman"/>
        </w:rPr>
        <w:t>原则及范围</w:t>
      </w:r>
      <w:bookmarkEnd w:id="20"/>
    </w:p>
    <w:p>
      <w:pPr>
        <w:pStyle w:val="23"/>
        <w:numPr>
          <w:ilvl w:val="1"/>
          <w:numId w:val="2"/>
        </w:numPr>
        <w:spacing w:line="360" w:lineRule="auto"/>
        <w:ind w:firstLineChars="0"/>
        <w:jc w:val="left"/>
        <w:rPr>
          <w:rFonts w:ascii="Times New Roman" w:eastAsiaTheme="minorEastAsia"/>
          <w:sz w:val="24"/>
          <w:szCs w:val="24"/>
        </w:rPr>
      </w:pPr>
      <w:r>
        <w:rPr>
          <w:rFonts w:hint="eastAsia" w:ascii="Times New Roman" w:eastAsiaTheme="minorEastAsia"/>
          <w:sz w:val="24"/>
          <w:szCs w:val="24"/>
        </w:rPr>
        <w:t>功能单位</w:t>
      </w:r>
    </w:p>
    <w:p>
      <w:pPr>
        <w:pStyle w:val="23"/>
        <w:spacing w:line="360" w:lineRule="auto"/>
        <w:ind w:firstLineChars="0"/>
        <w:jc w:val="left"/>
        <w:rPr>
          <w:rFonts w:ascii="Times New Roman" w:eastAsiaTheme="minorEastAsia"/>
          <w:sz w:val="24"/>
          <w:szCs w:val="24"/>
        </w:rPr>
      </w:pPr>
      <w:r>
        <w:rPr>
          <w:rFonts w:hint="eastAsia" w:ascii="Times New Roman" w:eastAsiaTheme="minorEastAsia"/>
          <w:sz w:val="24"/>
          <w:szCs w:val="24"/>
        </w:rPr>
        <w:t>雪地轮胎产品的碳足迹核算应以其生命周期内1条雪地轮胎</w:t>
      </w:r>
      <w:r>
        <w:rPr>
          <w:rFonts w:ascii="Times New Roman" w:eastAsiaTheme="minorEastAsia"/>
          <w:sz w:val="24"/>
          <w:szCs w:val="24"/>
        </w:rPr>
        <w:t>碳排放量</w:t>
      </w:r>
      <w:r>
        <w:rPr>
          <w:rFonts w:hint="eastAsia" w:ascii="Times New Roman" w:eastAsiaTheme="minorEastAsia"/>
          <w:sz w:val="24"/>
          <w:szCs w:val="24"/>
        </w:rPr>
        <w:t>作为功能单位。</w:t>
      </w:r>
    </w:p>
    <w:p>
      <w:pPr>
        <w:pStyle w:val="23"/>
        <w:numPr>
          <w:ilvl w:val="1"/>
          <w:numId w:val="2"/>
        </w:numPr>
        <w:spacing w:line="360" w:lineRule="auto"/>
        <w:ind w:firstLineChars="0"/>
        <w:jc w:val="left"/>
        <w:rPr>
          <w:rFonts w:ascii="Times New Roman" w:eastAsiaTheme="minorEastAsia"/>
          <w:sz w:val="24"/>
          <w:szCs w:val="24"/>
        </w:rPr>
      </w:pPr>
      <w:r>
        <w:rPr>
          <w:rFonts w:hint="eastAsia" w:ascii="Times New Roman" w:eastAsiaTheme="minorEastAsia"/>
          <w:sz w:val="24"/>
          <w:szCs w:val="24"/>
        </w:rPr>
        <w:t>声明单位</w:t>
      </w:r>
    </w:p>
    <w:p>
      <w:pPr>
        <w:pStyle w:val="23"/>
        <w:spacing w:line="360" w:lineRule="auto"/>
        <w:ind w:firstLineChars="0"/>
        <w:rPr>
          <w:rFonts w:ascii="Times New Roman" w:eastAsiaTheme="minorEastAsia"/>
          <w:sz w:val="24"/>
          <w:szCs w:val="24"/>
          <w:highlight w:val="yellow"/>
        </w:rPr>
      </w:pPr>
      <w:r>
        <w:rPr>
          <w:rFonts w:hint="eastAsia" w:ascii="Times New Roman" w:eastAsiaTheme="minorEastAsia"/>
          <w:sz w:val="24"/>
          <w:szCs w:val="24"/>
        </w:rPr>
        <w:t>在计算雪地轮胎产品的部分产品碳足迹过程时，</w:t>
      </w:r>
      <w:r>
        <w:rPr>
          <w:rFonts w:ascii="Times New Roman" w:eastAsiaTheme="minorEastAsia"/>
          <w:sz w:val="24"/>
          <w:szCs w:val="24"/>
        </w:rPr>
        <w:t>推荐</w:t>
      </w:r>
      <w:r>
        <w:rPr>
          <w:rFonts w:hint="eastAsia" w:ascii="Times New Roman" w:eastAsiaTheme="minorEastAsia"/>
          <w:sz w:val="24"/>
          <w:szCs w:val="24"/>
        </w:rPr>
        <w:t>使用1条雪地轮胎作为声明单位，同时明确对应的阶段。</w:t>
      </w:r>
    </w:p>
    <w:p>
      <w:pPr>
        <w:pStyle w:val="23"/>
        <w:numPr>
          <w:ilvl w:val="1"/>
          <w:numId w:val="2"/>
        </w:numPr>
        <w:spacing w:line="360" w:lineRule="auto"/>
        <w:ind w:firstLineChars="0"/>
        <w:jc w:val="left"/>
        <w:rPr>
          <w:rFonts w:ascii="Times New Roman" w:eastAsiaTheme="minorEastAsia"/>
          <w:sz w:val="24"/>
          <w:szCs w:val="24"/>
        </w:rPr>
      </w:pPr>
      <w:r>
        <w:rPr>
          <w:rFonts w:ascii="Times New Roman" w:eastAsiaTheme="minorEastAsia"/>
          <w:sz w:val="24"/>
          <w:szCs w:val="24"/>
        </w:rPr>
        <w:t>量化</w:t>
      </w:r>
      <w:r>
        <w:rPr>
          <w:rFonts w:hint="eastAsia" w:ascii="Times New Roman" w:eastAsiaTheme="minorEastAsia"/>
          <w:sz w:val="24"/>
          <w:szCs w:val="24"/>
        </w:rPr>
        <w:t>原则</w:t>
      </w:r>
    </w:p>
    <w:p>
      <w:pPr>
        <w:pStyle w:val="23"/>
        <w:spacing w:line="360" w:lineRule="auto"/>
        <w:ind w:firstLineChars="0"/>
        <w:rPr>
          <w:rFonts w:ascii="Times New Roman" w:eastAsiaTheme="minorEastAsia"/>
          <w:sz w:val="24"/>
          <w:szCs w:val="24"/>
        </w:rPr>
      </w:pPr>
      <w:r>
        <w:rPr>
          <w:rFonts w:hint="eastAsia" w:ascii="Times New Roman" w:eastAsiaTheme="minorEastAsia"/>
          <w:sz w:val="24"/>
          <w:szCs w:val="24"/>
        </w:rPr>
        <w:t>对雪地轮胎产品碳足迹的</w:t>
      </w:r>
      <w:r>
        <w:rPr>
          <w:rFonts w:ascii="Times New Roman" w:eastAsiaTheme="minorEastAsia"/>
          <w:sz w:val="24"/>
          <w:szCs w:val="24"/>
        </w:rPr>
        <w:t>量化</w:t>
      </w:r>
      <w:r>
        <w:rPr>
          <w:rFonts w:hint="eastAsia" w:ascii="Times New Roman" w:eastAsiaTheme="minorEastAsia"/>
          <w:sz w:val="24"/>
          <w:szCs w:val="24"/>
        </w:rPr>
        <w:t>应符合GB/T 24067 中规定的生命周期的视角、相对的方法和功能单位或声明单位、迭代的方法、科学方法的优先性、相关性、完整性、一致性、统一性、准确性、透明性、避免重复计算等原则。</w:t>
      </w:r>
    </w:p>
    <w:p>
      <w:pPr>
        <w:pStyle w:val="23"/>
        <w:numPr>
          <w:ilvl w:val="1"/>
          <w:numId w:val="2"/>
        </w:numPr>
        <w:spacing w:line="360" w:lineRule="auto"/>
        <w:ind w:firstLineChars="0"/>
        <w:jc w:val="left"/>
        <w:rPr>
          <w:rFonts w:ascii="Times New Roman" w:eastAsiaTheme="minorEastAsia"/>
          <w:sz w:val="24"/>
          <w:szCs w:val="24"/>
        </w:rPr>
      </w:pPr>
      <w:r>
        <w:rPr>
          <w:rFonts w:hint="eastAsia" w:ascii="Times New Roman" w:eastAsiaTheme="minorEastAsia"/>
          <w:sz w:val="24"/>
          <w:szCs w:val="24"/>
        </w:rPr>
        <w:t>系统边界</w:t>
      </w:r>
    </w:p>
    <w:p>
      <w:pPr>
        <w:pStyle w:val="23"/>
        <w:spacing w:line="360" w:lineRule="auto"/>
        <w:ind w:firstLine="480"/>
        <w:rPr>
          <w:rFonts w:ascii="Times New Roman" w:eastAsiaTheme="minorEastAsia"/>
          <w:sz w:val="24"/>
          <w:szCs w:val="24"/>
        </w:rPr>
      </w:pPr>
      <w:r>
        <w:rPr>
          <w:rFonts w:ascii="Times New Roman" w:eastAsiaTheme="minorEastAsia"/>
          <w:sz w:val="24"/>
          <w:szCs w:val="24"/>
        </w:rPr>
        <w:t>雪地轮胎产品碳足迹量化的系统边界包括</w:t>
      </w:r>
      <w:r>
        <w:rPr>
          <w:rFonts w:hint="eastAsia"/>
          <w:sz w:val="24"/>
          <w:szCs w:val="24"/>
        </w:rPr>
        <w:t>雪地轮胎产品</w:t>
      </w:r>
      <w:r>
        <w:rPr>
          <w:rFonts w:ascii="Times New Roman" w:eastAsiaTheme="minorEastAsia"/>
          <w:sz w:val="24"/>
          <w:szCs w:val="24"/>
        </w:rPr>
        <w:t>材料获取、生产、</w:t>
      </w:r>
      <w:r>
        <w:rPr>
          <w:rFonts w:hint="eastAsia" w:ascii="Times New Roman" w:eastAsiaTheme="minorEastAsia"/>
          <w:sz w:val="24"/>
          <w:szCs w:val="24"/>
        </w:rPr>
        <w:t>分销</w:t>
      </w:r>
      <w:r>
        <w:rPr>
          <w:rFonts w:ascii="Times New Roman" w:eastAsiaTheme="minorEastAsia"/>
          <w:sz w:val="24"/>
          <w:szCs w:val="24"/>
        </w:rPr>
        <w:t>、使用和</w:t>
      </w:r>
      <w:r>
        <w:rPr>
          <w:rFonts w:hint="eastAsia" w:ascii="Times New Roman" w:eastAsiaTheme="minorEastAsia"/>
          <w:sz w:val="24"/>
          <w:szCs w:val="24"/>
        </w:rPr>
        <w:t>废弃处理</w:t>
      </w:r>
      <w:r>
        <w:rPr>
          <w:rFonts w:ascii="Times New Roman" w:eastAsiaTheme="minorEastAsia"/>
          <w:sz w:val="24"/>
          <w:szCs w:val="24"/>
        </w:rPr>
        <w:t>五个阶段，见图</w:t>
      </w:r>
      <w:r>
        <w:rPr>
          <w:rFonts w:hint="eastAsia" w:ascii="Times New Roman" w:eastAsiaTheme="minorEastAsia"/>
          <w:sz w:val="24"/>
          <w:szCs w:val="24"/>
        </w:rPr>
        <w:t>1</w:t>
      </w:r>
      <w:r>
        <w:rPr>
          <w:rFonts w:ascii="Times New Roman" w:eastAsiaTheme="minorEastAsia"/>
          <w:sz w:val="24"/>
          <w:szCs w:val="24"/>
        </w:rPr>
        <w:t>。不包括道路与厂房等基础设施、各工序的设备、厂区内人员及生活设施的生产制造过程的碳排放。</w:t>
      </w:r>
    </w:p>
    <w:p>
      <w:r>
        <w:drawing>
          <wp:inline distT="0" distB="0" distL="114300" distR="114300">
            <wp:extent cx="6058535" cy="3080385"/>
            <wp:effectExtent l="0" t="0" r="0" b="0"/>
            <wp:docPr id="8"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true"/>
                    </pic:cNvPicPr>
                  </pic:nvPicPr>
                  <pic:blipFill>
                    <a:blip r:embed="rId27"/>
                    <a:stretch>
                      <a:fillRect/>
                    </a:stretch>
                  </pic:blipFill>
                  <pic:spPr>
                    <a:xfrm>
                      <a:off x="0" y="0"/>
                      <a:ext cx="6058535" cy="3080385"/>
                    </a:xfrm>
                    <a:prstGeom prst="rect">
                      <a:avLst/>
                    </a:prstGeom>
                    <a:noFill/>
                    <a:ln>
                      <a:noFill/>
                    </a:ln>
                  </pic:spPr>
                </pic:pic>
              </a:graphicData>
            </a:graphic>
          </wp:inline>
        </w:drawing>
      </w:r>
    </w:p>
    <w:p>
      <w:pPr>
        <w:spacing w:before="217" w:line="324" w:lineRule="exact"/>
        <w:ind w:left="6" w:right="2" w:firstLine="420"/>
        <w:jc w:val="center"/>
        <w:rPr>
          <w:rFonts w:ascii="Times New Roman"/>
          <w:sz w:val="24"/>
          <w:szCs w:val="24"/>
        </w:rPr>
      </w:pPr>
      <w:r>
        <w:rPr>
          <w:rFonts w:ascii="宋体" w:hAnsi="Times New Roman" w:eastAsia="宋体" w:cs="Times New Roman"/>
          <w:kern w:val="0"/>
          <w:sz w:val="18"/>
          <w:szCs w:val="18"/>
        </w:rPr>
        <w:t>图</w:t>
      </w:r>
      <w:r>
        <w:rPr>
          <w:rFonts w:hint="eastAsia" w:ascii="宋体" w:hAnsi="Times New Roman" w:eastAsia="宋体" w:cs="Times New Roman"/>
          <w:kern w:val="0"/>
          <w:sz w:val="18"/>
          <w:szCs w:val="18"/>
        </w:rPr>
        <w:t>1 雪地轮胎产品碳足迹量化系统边界</w:t>
      </w:r>
    </w:p>
    <w:p>
      <w:pPr>
        <w:pStyle w:val="23"/>
        <w:numPr>
          <w:ilvl w:val="1"/>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材料获取阶段核算范围</w:t>
      </w:r>
    </w:p>
    <w:p>
      <w:pPr>
        <w:pStyle w:val="23"/>
        <w:spacing w:line="360" w:lineRule="auto"/>
        <w:ind w:firstLine="480"/>
        <w:rPr>
          <w:rFonts w:ascii="黑体" w:hAnsi="黑体" w:eastAsia="黑体"/>
          <w:szCs w:val="21"/>
        </w:rPr>
      </w:pPr>
      <w:r>
        <w:rPr>
          <w:rFonts w:ascii="Times New Roman" w:eastAsiaTheme="minorEastAsia"/>
          <w:sz w:val="24"/>
          <w:szCs w:val="24"/>
        </w:rPr>
        <w:t>材料获取阶段，包括材料生产过程（含材料获取及加工过程，再生材料的生产加工过程），以及材料的运输过程，不包括材料使用与废弃</w:t>
      </w:r>
      <w:r>
        <w:rPr>
          <w:rFonts w:hint="eastAsia" w:ascii="Times New Roman" w:eastAsiaTheme="minorEastAsia"/>
          <w:sz w:val="24"/>
          <w:szCs w:val="24"/>
        </w:rPr>
        <w:t>处理过程</w:t>
      </w:r>
      <w:r>
        <w:rPr>
          <w:rFonts w:ascii="Times New Roman" w:eastAsiaTheme="minorEastAsia"/>
          <w:sz w:val="24"/>
          <w:szCs w:val="24"/>
        </w:rPr>
        <w:t>。材料获取及加工过程及资源的获取和材料的生产过程，包括资源开采、加工提纯、生产制造等过程。再生材料的生产加工过程应包含由废物成为再生材料的加工等过程。本规范核算范围内的雪地轮胎生产用原材料类别见表</w:t>
      </w:r>
      <w:r>
        <w:rPr>
          <w:rFonts w:hint="eastAsia" w:ascii="Times New Roman" w:eastAsiaTheme="minorEastAsia"/>
          <w:sz w:val="24"/>
          <w:szCs w:val="24"/>
        </w:rPr>
        <w:t>1。材料质量占比或碳排放占比大于1%但未列入表1中的其他均质材料，也应纳入核算范围。可舍去某一单元过程中质量小于1%的材料输入，为满足质量平衡，舍去的部分应加到相同类别中碳排放最高的输入材料中，舍去的部分应有书面记录并说明舍去原因。</w:t>
      </w:r>
    </w:p>
    <w:p>
      <w:pPr>
        <w:pStyle w:val="23"/>
        <w:spacing w:line="360" w:lineRule="auto"/>
        <w:jc w:val="center"/>
        <w:rPr>
          <w:rFonts w:ascii="黑体" w:hAnsi="黑体" w:eastAsia="黑体"/>
          <w:szCs w:val="21"/>
        </w:rPr>
      </w:pPr>
      <w:r>
        <w:rPr>
          <w:rFonts w:hint="eastAsia" w:ascii="黑体" w:hAnsi="黑体" w:eastAsia="黑体"/>
          <w:szCs w:val="21"/>
        </w:rPr>
        <w:t xml:space="preserve">表1 </w:t>
      </w:r>
      <w:r>
        <w:rPr>
          <w:rFonts w:ascii="黑体" w:hAnsi="黑体" w:eastAsia="黑体"/>
          <w:szCs w:val="21"/>
        </w:rPr>
        <w:t>雪地轮胎产品</w:t>
      </w:r>
      <w:r>
        <w:rPr>
          <w:rFonts w:hint="eastAsia" w:ascii="黑体" w:hAnsi="黑体" w:eastAsia="黑体"/>
          <w:szCs w:val="21"/>
        </w:rPr>
        <w:t>生产用原材料类别表</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13"/>
        <w:gridCol w:w="69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3" w:type="dxa"/>
            <w:vAlign w:val="center"/>
          </w:tcPr>
          <w:p>
            <w:pPr>
              <w:pStyle w:val="23"/>
              <w:ind w:firstLine="0" w:firstLineChars="0"/>
              <w:jc w:val="center"/>
              <w:rPr>
                <w:rFonts w:hAnsi="宋体" w:cs="宋体"/>
                <w:b/>
                <w:szCs w:val="21"/>
              </w:rPr>
            </w:pPr>
            <w:r>
              <w:rPr>
                <w:rFonts w:hint="eastAsia" w:hAnsi="宋体" w:cs="宋体"/>
                <w:b/>
                <w:szCs w:val="21"/>
              </w:rPr>
              <w:t>序号</w:t>
            </w:r>
          </w:p>
        </w:tc>
        <w:tc>
          <w:tcPr>
            <w:tcW w:w="6966" w:type="dxa"/>
            <w:vAlign w:val="center"/>
          </w:tcPr>
          <w:p>
            <w:pPr>
              <w:pStyle w:val="23"/>
              <w:ind w:firstLine="0" w:firstLineChars="0"/>
              <w:jc w:val="center"/>
              <w:rPr>
                <w:rFonts w:hAnsi="宋体" w:cs="宋体"/>
                <w:b/>
                <w:szCs w:val="21"/>
              </w:rPr>
            </w:pPr>
            <w:r>
              <w:rPr>
                <w:rFonts w:hint="eastAsia" w:hAnsi="宋体" w:cs="宋体"/>
                <w:b/>
                <w:szCs w:val="21"/>
              </w:rPr>
              <w:t>材料类别名称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3" w:type="dxa"/>
            <w:vAlign w:val="center"/>
          </w:tcPr>
          <w:p>
            <w:pPr>
              <w:pStyle w:val="23"/>
              <w:ind w:firstLine="0" w:firstLineChars="0"/>
              <w:jc w:val="center"/>
              <w:rPr>
                <w:rFonts w:hAnsi="宋体" w:cs="宋体"/>
                <w:szCs w:val="21"/>
              </w:rPr>
            </w:pPr>
            <w:r>
              <w:rPr>
                <w:rFonts w:hint="eastAsia" w:hAnsi="宋体" w:cs="宋体"/>
                <w:szCs w:val="21"/>
              </w:rPr>
              <w:t>1</w:t>
            </w:r>
          </w:p>
        </w:tc>
        <w:tc>
          <w:tcPr>
            <w:tcW w:w="6966" w:type="dxa"/>
            <w:vAlign w:val="center"/>
          </w:tcPr>
          <w:p>
            <w:pPr>
              <w:pStyle w:val="23"/>
              <w:ind w:firstLine="0" w:firstLineChars="0"/>
              <w:jc w:val="center"/>
              <w:rPr>
                <w:rFonts w:hAnsi="宋体" w:cs="宋体"/>
                <w:szCs w:val="21"/>
              </w:rPr>
            </w:pPr>
            <w:r>
              <w:rPr>
                <w:rFonts w:hint="eastAsia" w:hAnsi="宋体" w:cs="宋体"/>
                <w:szCs w:val="21"/>
              </w:rPr>
              <w:t>橡胶（天然胶、合成胶等）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3" w:type="dxa"/>
            <w:vAlign w:val="center"/>
          </w:tcPr>
          <w:p>
            <w:pPr>
              <w:pStyle w:val="23"/>
              <w:ind w:firstLine="0" w:firstLineChars="0"/>
              <w:jc w:val="center"/>
              <w:rPr>
                <w:rFonts w:hAnsi="宋体" w:cs="宋体"/>
                <w:szCs w:val="21"/>
              </w:rPr>
            </w:pPr>
            <w:r>
              <w:rPr>
                <w:rFonts w:hint="eastAsia" w:hAnsi="宋体" w:cs="宋体"/>
                <w:szCs w:val="21"/>
              </w:rPr>
              <w:t>2</w:t>
            </w:r>
          </w:p>
        </w:tc>
        <w:tc>
          <w:tcPr>
            <w:tcW w:w="6966" w:type="dxa"/>
            <w:vAlign w:val="center"/>
          </w:tcPr>
          <w:p>
            <w:pPr>
              <w:pStyle w:val="23"/>
              <w:ind w:firstLine="0" w:firstLineChars="0"/>
              <w:jc w:val="center"/>
              <w:rPr>
                <w:rFonts w:hAnsi="宋体" w:cs="宋体"/>
                <w:szCs w:val="21"/>
              </w:rPr>
            </w:pPr>
            <w:r>
              <w:rPr>
                <w:rFonts w:hint="eastAsia" w:hAnsi="宋体" w:cs="宋体"/>
                <w:szCs w:val="21"/>
              </w:rPr>
              <w:t>补强材料（二氧化硅、炭黑等）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3" w:type="dxa"/>
            <w:vAlign w:val="center"/>
          </w:tcPr>
          <w:p>
            <w:pPr>
              <w:pStyle w:val="23"/>
              <w:ind w:firstLine="0" w:firstLineChars="0"/>
              <w:jc w:val="center"/>
              <w:rPr>
                <w:rFonts w:hAnsi="宋体" w:cs="宋体"/>
                <w:szCs w:val="21"/>
              </w:rPr>
            </w:pPr>
            <w:r>
              <w:rPr>
                <w:rFonts w:hint="eastAsia" w:hAnsi="宋体" w:cs="宋体"/>
                <w:szCs w:val="21"/>
              </w:rPr>
              <w:t>3</w:t>
            </w:r>
          </w:p>
        </w:tc>
        <w:tc>
          <w:tcPr>
            <w:tcW w:w="6966" w:type="dxa"/>
            <w:vAlign w:val="center"/>
          </w:tcPr>
          <w:p>
            <w:pPr>
              <w:pStyle w:val="23"/>
              <w:ind w:firstLine="0" w:firstLineChars="0"/>
              <w:jc w:val="center"/>
              <w:rPr>
                <w:rFonts w:hAnsi="宋体" w:cs="宋体"/>
                <w:szCs w:val="21"/>
              </w:rPr>
            </w:pPr>
            <w:r>
              <w:rPr>
                <w:rFonts w:hint="eastAsia" w:hAnsi="宋体" w:cs="宋体"/>
                <w:szCs w:val="21"/>
              </w:rPr>
              <w:t>助剂（增塑剂、钴盐、</w:t>
            </w:r>
            <w:r>
              <w:rPr>
                <w:rFonts w:hAnsi="宋体" w:cs="宋体"/>
                <w:szCs w:val="21"/>
              </w:rPr>
              <w:t>脱模剂</w:t>
            </w:r>
            <w:r>
              <w:rPr>
                <w:rFonts w:hint="eastAsia" w:hAnsi="宋体" w:cs="宋体"/>
                <w:szCs w:val="21"/>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3" w:type="dxa"/>
            <w:vAlign w:val="center"/>
          </w:tcPr>
          <w:p>
            <w:pPr>
              <w:pStyle w:val="23"/>
              <w:ind w:firstLine="0" w:firstLineChars="0"/>
              <w:jc w:val="center"/>
              <w:rPr>
                <w:rFonts w:hAnsi="宋体" w:cs="宋体"/>
                <w:szCs w:val="21"/>
              </w:rPr>
            </w:pPr>
            <w:r>
              <w:rPr>
                <w:rFonts w:hint="eastAsia" w:hAnsi="宋体" w:cs="宋体"/>
                <w:szCs w:val="21"/>
              </w:rPr>
              <w:t>4</w:t>
            </w:r>
          </w:p>
        </w:tc>
        <w:tc>
          <w:tcPr>
            <w:tcW w:w="6966" w:type="dxa"/>
            <w:vAlign w:val="center"/>
          </w:tcPr>
          <w:p>
            <w:pPr>
              <w:pStyle w:val="23"/>
              <w:ind w:firstLine="0" w:firstLineChars="0"/>
              <w:jc w:val="center"/>
              <w:rPr>
                <w:rFonts w:hAnsi="宋体" w:cs="宋体"/>
                <w:szCs w:val="21"/>
              </w:rPr>
            </w:pPr>
            <w:r>
              <w:rPr>
                <w:rFonts w:hint="eastAsia" w:hAnsi="宋体" w:cs="宋体"/>
                <w:szCs w:val="21"/>
              </w:rPr>
              <w:t>骨架材料（钢丝、尼龙、聚酯纤维等）</w:t>
            </w:r>
          </w:p>
        </w:tc>
      </w:tr>
    </w:tbl>
    <w:p>
      <w:pPr>
        <w:pStyle w:val="23"/>
        <w:numPr>
          <w:ilvl w:val="1"/>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生产阶段核算范围</w:t>
      </w:r>
    </w:p>
    <w:p>
      <w:pPr>
        <w:pStyle w:val="23"/>
        <w:spacing w:line="360" w:lineRule="auto"/>
        <w:ind w:firstLine="48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生产阶段始于原材料进入生产设施，结束于</w:t>
      </w:r>
      <w:r>
        <w:rPr>
          <w:rFonts w:ascii="Times New Roman" w:eastAsiaTheme="minorEastAsia"/>
          <w:sz w:val="24"/>
          <w:szCs w:val="24"/>
        </w:rPr>
        <w:t>雪地轮胎</w:t>
      </w:r>
      <w:r>
        <w:rPr>
          <w:rFonts w:hint="eastAsia" w:ascii="Times New Roman" w:eastAsiaTheme="minorEastAsia"/>
          <w:sz w:val="24"/>
          <w:szCs w:val="24"/>
        </w:rPr>
        <w:t>产品离开生产工厂，核算范围包括主要生产系统（从原材料、半制品、成品、检验到包装出厂范围内的整个生产过程）和辅助生产系统（如动力、供电、化验、机修、库房、运输等）。</w:t>
      </w:r>
    </w:p>
    <w:p>
      <w:pPr>
        <w:pStyle w:val="23"/>
        <w:numPr>
          <w:ilvl w:val="1"/>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分销阶段核算范围</w:t>
      </w:r>
    </w:p>
    <w:p>
      <w:pPr>
        <w:pStyle w:val="23"/>
        <w:spacing w:line="360" w:lineRule="auto"/>
        <w:ind w:firstLine="48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分销阶段包括</w:t>
      </w:r>
      <w:r>
        <w:rPr>
          <w:rFonts w:ascii="Times New Roman" w:eastAsiaTheme="minorEastAsia"/>
          <w:sz w:val="24"/>
          <w:szCs w:val="24"/>
        </w:rPr>
        <w:t>雪地轮胎产品</w:t>
      </w:r>
      <w:r>
        <w:rPr>
          <w:rFonts w:hint="eastAsia" w:ascii="Times New Roman" w:eastAsiaTheme="minorEastAsia"/>
          <w:sz w:val="24"/>
          <w:szCs w:val="24"/>
        </w:rPr>
        <w:t>从生产厂到进入市场的参考入口点（如整车厂、分销商、经销商等）的运输过程。</w:t>
      </w:r>
    </w:p>
    <w:p>
      <w:pPr>
        <w:pStyle w:val="23"/>
        <w:numPr>
          <w:ilvl w:val="1"/>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使用阶段核算范围</w:t>
      </w:r>
    </w:p>
    <w:p>
      <w:pPr>
        <w:pStyle w:val="23"/>
        <w:spacing w:line="360" w:lineRule="auto"/>
        <w:ind w:firstLine="48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使用阶段核算范围包括在</w:t>
      </w:r>
      <w:r>
        <w:rPr>
          <w:rFonts w:ascii="Times New Roman" w:eastAsiaTheme="minorEastAsia"/>
          <w:sz w:val="24"/>
          <w:szCs w:val="24"/>
        </w:rPr>
        <w:t>雪地轮胎产品</w:t>
      </w:r>
      <w:r>
        <w:rPr>
          <w:rFonts w:hint="eastAsia" w:ascii="Times New Roman" w:eastAsiaTheme="minorEastAsia"/>
          <w:sz w:val="24"/>
          <w:szCs w:val="24"/>
        </w:rPr>
        <w:t>使用过程中由滚动阻力和惯性力等造成的能量消耗带来的碳排放以及</w:t>
      </w:r>
      <w:r>
        <w:rPr>
          <w:rFonts w:ascii="Times New Roman" w:eastAsiaTheme="minorEastAsia"/>
          <w:sz w:val="24"/>
          <w:szCs w:val="24"/>
        </w:rPr>
        <w:t>雪地轮胎产品</w:t>
      </w:r>
      <w:r>
        <w:rPr>
          <w:rFonts w:hint="eastAsia" w:ascii="Times New Roman" w:eastAsiaTheme="minorEastAsia"/>
          <w:sz w:val="24"/>
          <w:szCs w:val="24"/>
        </w:rPr>
        <w:t>更换过程产生的碳足迹。</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使用过程的行驶里程可以选择如下方法中的一种：</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使用缺省值：雪地轮胎产品使用阶段的总使用里程默认累计行驶</w:t>
      </w:r>
      <w:r>
        <w:rPr>
          <w:rFonts w:ascii="Times New Roman" w:eastAsiaTheme="minorEastAsia"/>
          <w:sz w:val="24"/>
          <w:szCs w:val="24"/>
        </w:rPr>
        <w:t>5</w:t>
      </w:r>
      <w:r>
        <w:rPr>
          <w:rFonts w:hint="eastAsia" w:ascii="Times New Roman" w:eastAsiaTheme="minorEastAsia"/>
          <w:sz w:val="24"/>
          <w:szCs w:val="24"/>
        </w:rPr>
        <w:t>.0万公里；使用实际使用条件下的统计数据（样本量不小于1000条）；</w:t>
      </w:r>
      <w:r>
        <w:rPr>
          <w:rFonts w:ascii="Times New Roman" w:eastAsiaTheme="minorEastAsia"/>
          <w:sz w:val="24"/>
          <w:szCs w:val="24"/>
        </w:rPr>
        <w:t>其它</w:t>
      </w:r>
      <w:r>
        <w:rPr>
          <w:rFonts w:hint="eastAsia" w:ascii="Times New Roman" w:eastAsiaTheme="minorEastAsia"/>
          <w:sz w:val="24"/>
          <w:szCs w:val="24"/>
        </w:rPr>
        <w:t>缺省值</w:t>
      </w:r>
      <w:r>
        <w:rPr>
          <w:rFonts w:ascii="Times New Roman" w:eastAsiaTheme="minorEastAsia"/>
          <w:sz w:val="24"/>
          <w:szCs w:val="24"/>
        </w:rPr>
        <w:t>（参考常规轮胎）</w:t>
      </w:r>
      <w:r>
        <w:rPr>
          <w:rFonts w:hint="eastAsia" w:ascii="Times New Roman" w:eastAsiaTheme="minorEastAsia"/>
          <w:sz w:val="24"/>
          <w:szCs w:val="24"/>
        </w:rPr>
        <w:t>参见附录B。</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使用质保数据：质保期为时间数据的，年行驶里程按1万公里计。</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使用实验室耐久里程数据：需要有报告支撑。</w:t>
      </w:r>
    </w:p>
    <w:p>
      <w:pPr>
        <w:pStyle w:val="23"/>
        <w:numPr>
          <w:ilvl w:val="1"/>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废弃处理过程核算范围</w:t>
      </w:r>
    </w:p>
    <w:p>
      <w:pPr>
        <w:pStyle w:val="23"/>
        <w:spacing w:line="360" w:lineRule="auto"/>
        <w:ind w:firstLine="48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废弃处理过程核算范围包括填埋、焚烧两种方式，不包括能量回收、材料回收等其他资源化利用方式。具体包括废</w:t>
      </w:r>
      <w:r>
        <w:rPr>
          <w:rFonts w:ascii="Times New Roman" w:eastAsiaTheme="minorEastAsia"/>
          <w:sz w:val="24"/>
          <w:szCs w:val="24"/>
        </w:rPr>
        <w:t>雪地轮胎产品</w:t>
      </w:r>
      <w:r>
        <w:rPr>
          <w:rFonts w:hint="eastAsia" w:ascii="Times New Roman" w:eastAsiaTheme="minorEastAsia"/>
          <w:sz w:val="24"/>
          <w:szCs w:val="24"/>
        </w:rPr>
        <w:t>运输和废</w:t>
      </w:r>
      <w:r>
        <w:rPr>
          <w:rFonts w:ascii="Times New Roman" w:eastAsiaTheme="minorEastAsia"/>
          <w:sz w:val="24"/>
          <w:szCs w:val="24"/>
        </w:rPr>
        <w:t>雪地轮胎产品</w:t>
      </w:r>
      <w:r>
        <w:rPr>
          <w:rFonts w:hint="eastAsia" w:ascii="Times New Roman" w:eastAsiaTheme="minorEastAsia"/>
          <w:sz w:val="24"/>
          <w:szCs w:val="24"/>
        </w:rPr>
        <w:t>回收处置两个阶段：废</w:t>
      </w:r>
      <w:r>
        <w:rPr>
          <w:rFonts w:ascii="Times New Roman" w:eastAsiaTheme="minorEastAsia"/>
          <w:sz w:val="24"/>
          <w:szCs w:val="24"/>
        </w:rPr>
        <w:t>雪地轮胎产品</w:t>
      </w:r>
      <w:r>
        <w:rPr>
          <w:rFonts w:hint="eastAsia" w:ascii="Times New Roman" w:eastAsiaTheme="minorEastAsia"/>
          <w:sz w:val="24"/>
          <w:szCs w:val="24"/>
        </w:rPr>
        <w:t>运输阶段包括废</w:t>
      </w:r>
      <w:r>
        <w:rPr>
          <w:rFonts w:ascii="Times New Roman" w:eastAsiaTheme="minorEastAsia"/>
          <w:sz w:val="24"/>
          <w:szCs w:val="24"/>
        </w:rPr>
        <w:t>雪地轮胎产品</w:t>
      </w:r>
      <w:r>
        <w:rPr>
          <w:rFonts w:hint="eastAsia" w:ascii="Times New Roman" w:eastAsiaTheme="minorEastAsia"/>
          <w:sz w:val="24"/>
          <w:szCs w:val="24"/>
        </w:rPr>
        <w:t>从产生处到焚烧厂、填埋场等处置场所的运输；废</w:t>
      </w:r>
      <w:r>
        <w:rPr>
          <w:rFonts w:ascii="Times New Roman" w:eastAsiaTheme="minorEastAsia"/>
          <w:sz w:val="24"/>
          <w:szCs w:val="24"/>
        </w:rPr>
        <w:t>雪地轮胎产品</w:t>
      </w:r>
      <w:r>
        <w:rPr>
          <w:rFonts w:hint="eastAsia" w:ascii="Times New Roman" w:eastAsiaTheme="minorEastAsia"/>
          <w:sz w:val="24"/>
          <w:szCs w:val="24"/>
        </w:rPr>
        <w:t>回收处置阶段开始于废</w:t>
      </w:r>
      <w:r>
        <w:rPr>
          <w:rFonts w:ascii="Times New Roman" w:eastAsiaTheme="minorEastAsia"/>
          <w:sz w:val="24"/>
          <w:szCs w:val="24"/>
        </w:rPr>
        <w:t>雪地轮胎产品</w:t>
      </w:r>
      <w:r>
        <w:rPr>
          <w:rFonts w:hint="eastAsia" w:ascii="Times New Roman" w:eastAsiaTheme="minorEastAsia"/>
          <w:sz w:val="24"/>
          <w:szCs w:val="24"/>
        </w:rPr>
        <w:t>进入处理场地到完成回收处置活动位置。</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21" w:name="_Toc26706"/>
      <w:r>
        <w:rPr>
          <w:rFonts w:hint="eastAsia" w:ascii="Times New Roman" w:hAnsi="Times New Roman" w:cs="Times New Roman"/>
        </w:rPr>
        <w:t>数据</w:t>
      </w:r>
      <w:bookmarkEnd w:id="21"/>
      <w:r>
        <w:rPr>
          <w:rFonts w:hint="eastAsia" w:ascii="Times New Roman" w:hAnsi="Times New Roman" w:cs="Times New Roman"/>
        </w:rPr>
        <w:t>和数据质量</w:t>
      </w:r>
    </w:p>
    <w:p>
      <w:pPr>
        <w:pStyle w:val="23"/>
        <w:numPr>
          <w:ilvl w:val="1"/>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数据收集</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应收集</w:t>
      </w:r>
      <w:r>
        <w:rPr>
          <w:rFonts w:ascii="Times New Roman" w:eastAsiaTheme="minorEastAsia"/>
          <w:sz w:val="24"/>
          <w:szCs w:val="24"/>
        </w:rPr>
        <w:t>雪地轮胎产品</w:t>
      </w:r>
      <w:r>
        <w:rPr>
          <w:rFonts w:hint="eastAsia" w:ascii="Times New Roman" w:eastAsiaTheme="minorEastAsia"/>
          <w:sz w:val="24"/>
          <w:szCs w:val="24"/>
        </w:rPr>
        <w:t>系统边界范围内每一个单元的数据</w:t>
      </w:r>
      <w:r>
        <w:rPr>
          <w:rFonts w:ascii="Times New Roman" w:eastAsiaTheme="minorEastAsia"/>
          <w:sz w:val="24"/>
          <w:szCs w:val="24"/>
        </w:rPr>
        <w:t>（参见附录A），</w:t>
      </w:r>
      <w:r>
        <w:rPr>
          <w:rFonts w:hint="eastAsia" w:ascii="Times New Roman" w:eastAsiaTheme="minorEastAsia"/>
          <w:sz w:val="24"/>
          <w:szCs w:val="24"/>
        </w:rPr>
        <w:t>包括初级数据和次级数据。</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初级数据包括输入的原材料、净外购能源</w:t>
      </w:r>
      <w:r>
        <w:rPr>
          <w:rFonts w:ascii="Times New Roman" w:eastAsiaTheme="minorEastAsia"/>
          <w:sz w:val="24"/>
          <w:szCs w:val="24"/>
        </w:rPr>
        <w:t>；</w:t>
      </w:r>
      <w:r>
        <w:rPr>
          <w:rFonts w:hint="eastAsia" w:ascii="Times New Roman" w:eastAsiaTheme="minorEastAsia"/>
          <w:sz w:val="24"/>
          <w:szCs w:val="24"/>
        </w:rPr>
        <w:t>输出的产品、副产品和废物</w:t>
      </w:r>
      <w:r>
        <w:rPr>
          <w:rFonts w:ascii="Times New Roman" w:eastAsiaTheme="minorEastAsia"/>
          <w:sz w:val="24"/>
          <w:szCs w:val="24"/>
        </w:rPr>
        <w:t>；</w:t>
      </w:r>
      <w:r>
        <w:rPr>
          <w:rFonts w:hint="eastAsia" w:ascii="Times New Roman" w:eastAsiaTheme="minorEastAsia"/>
          <w:sz w:val="24"/>
          <w:szCs w:val="24"/>
        </w:rPr>
        <w:t>运输产生的能耗等。</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初级数据的来源包括但不限于</w:t>
      </w:r>
      <w:r>
        <w:rPr>
          <w:rFonts w:ascii="Times New Roman" w:eastAsiaTheme="minorEastAsia"/>
          <w:sz w:val="24"/>
          <w:szCs w:val="24"/>
        </w:rPr>
        <w:t>：</w:t>
      </w:r>
      <w:r>
        <w:rPr>
          <w:rFonts w:hint="eastAsia" w:ascii="Times New Roman" w:eastAsiaTheme="minorEastAsia"/>
          <w:sz w:val="24"/>
          <w:szCs w:val="24"/>
        </w:rPr>
        <w:t>热、电计量器具记录</w:t>
      </w:r>
      <w:r>
        <w:rPr>
          <w:rFonts w:ascii="Times New Roman" w:eastAsiaTheme="minorEastAsia"/>
          <w:sz w:val="24"/>
          <w:szCs w:val="24"/>
        </w:rPr>
        <w:t>；</w:t>
      </w:r>
      <w:r>
        <w:rPr>
          <w:rFonts w:hint="eastAsia" w:ascii="Times New Roman" w:eastAsiaTheme="minorEastAsia"/>
          <w:sz w:val="24"/>
          <w:szCs w:val="24"/>
        </w:rPr>
        <w:t>购买记录、台账、结算发票</w:t>
      </w:r>
      <w:r>
        <w:rPr>
          <w:rFonts w:ascii="Times New Roman" w:eastAsiaTheme="minorEastAsia"/>
          <w:sz w:val="24"/>
          <w:szCs w:val="24"/>
        </w:rPr>
        <w:t>；</w:t>
      </w:r>
      <w:r>
        <w:rPr>
          <w:rFonts w:hint="eastAsia" w:ascii="Times New Roman" w:eastAsiaTheme="minorEastAsia"/>
          <w:sz w:val="24"/>
          <w:szCs w:val="24"/>
        </w:rPr>
        <w:t>物料清单、领料/投料清单</w:t>
      </w:r>
      <w:r>
        <w:rPr>
          <w:rFonts w:ascii="Times New Roman" w:eastAsiaTheme="minorEastAsia"/>
          <w:sz w:val="24"/>
          <w:szCs w:val="24"/>
        </w:rPr>
        <w:t>；</w:t>
      </w:r>
      <w:r>
        <w:rPr>
          <w:rFonts w:hint="eastAsia" w:ascii="Times New Roman" w:eastAsiaTheme="minorEastAsia"/>
          <w:sz w:val="24"/>
          <w:szCs w:val="24"/>
        </w:rPr>
        <w:t>委托处置合同</w:t>
      </w:r>
      <w:r>
        <w:rPr>
          <w:rFonts w:ascii="Times New Roman" w:eastAsiaTheme="minorEastAsia"/>
          <w:sz w:val="24"/>
          <w:szCs w:val="24"/>
        </w:rPr>
        <w:t>；</w:t>
      </w:r>
      <w:r>
        <w:rPr>
          <w:rFonts w:hint="eastAsia" w:ascii="Times New Roman" w:eastAsiaTheme="minorEastAsia"/>
          <w:sz w:val="24"/>
          <w:szCs w:val="24"/>
        </w:rPr>
        <w:t>运输方式、运输距离、运输工具等。</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次级数据包括原材料、电力、运输的碳足迹因子</w:t>
      </w:r>
      <w:r>
        <w:rPr>
          <w:rFonts w:ascii="Times New Roman" w:eastAsiaTheme="minorEastAsia"/>
          <w:sz w:val="24"/>
          <w:szCs w:val="24"/>
        </w:rPr>
        <w:t>，</w:t>
      </w:r>
      <w:r>
        <w:rPr>
          <w:rFonts w:hint="eastAsia" w:ascii="Times New Roman" w:eastAsiaTheme="minorEastAsia"/>
          <w:sz w:val="24"/>
          <w:szCs w:val="24"/>
        </w:rPr>
        <w:t>燃料燃烧的排放因子及其他技术参数</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次级数据的来源优先使用最新的国家或行业主管部门公开发布的碳足迹数据库</w:t>
      </w:r>
      <w:r>
        <w:rPr>
          <w:rFonts w:ascii="Times New Roman" w:eastAsiaTheme="minorEastAsia"/>
          <w:sz w:val="24"/>
          <w:szCs w:val="24"/>
        </w:rPr>
        <w:t>，</w:t>
      </w:r>
      <w:r>
        <w:rPr>
          <w:rFonts w:hint="eastAsia" w:ascii="Times New Roman" w:eastAsiaTheme="minorEastAsia"/>
          <w:sz w:val="24"/>
          <w:szCs w:val="24"/>
        </w:rPr>
        <w:t>也可选取由上游供应商提供的符合产品碳足迹计算要求的产品碳足迹数值、生命周期数据库、科技文献和论文公布数据、行业协会报告等</w:t>
      </w:r>
      <w:r>
        <w:rPr>
          <w:rFonts w:ascii="Times New Roman" w:eastAsiaTheme="minorEastAsia"/>
          <w:sz w:val="24"/>
          <w:szCs w:val="24"/>
        </w:rPr>
        <w:t>。</w:t>
      </w:r>
    </w:p>
    <w:p>
      <w:pPr>
        <w:pStyle w:val="23"/>
        <w:numPr>
          <w:ilvl w:val="1"/>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数据分配</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产品生产工序中存在一个单元过程同时产出两种或多种产品，而投入的原材料和能源又没有分开的情况，也会存在输入渠道有多种，而输出只有一种的情况。在这些情况下，不能直接得到清单计算所需要的数据，应根据一定的关系对这些过程的数据进行分配。</w:t>
      </w:r>
      <w:r>
        <w:rPr>
          <w:rFonts w:ascii="Times New Roman" w:eastAsiaTheme="minorEastAsia"/>
          <w:sz w:val="24"/>
          <w:szCs w:val="24"/>
        </w:rPr>
        <w:t>数</w:t>
      </w:r>
      <w:r>
        <w:rPr>
          <w:rFonts w:hint="eastAsia" w:ascii="Times New Roman" w:eastAsiaTheme="minorEastAsia"/>
          <w:sz w:val="24"/>
          <w:szCs w:val="24"/>
        </w:rPr>
        <w:t>据分配应符合GB/T 24067 中规定的原则和程序。</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分配的</w:t>
      </w:r>
      <w:r>
        <w:rPr>
          <w:rFonts w:ascii="Times New Roman" w:eastAsiaTheme="minorEastAsia"/>
          <w:sz w:val="24"/>
          <w:szCs w:val="24"/>
        </w:rPr>
        <w:t>基本</w:t>
      </w:r>
      <w:r>
        <w:rPr>
          <w:rFonts w:hint="eastAsia" w:ascii="Times New Roman" w:eastAsiaTheme="minorEastAsia"/>
          <w:sz w:val="24"/>
          <w:szCs w:val="24"/>
        </w:rPr>
        <w:t>原则如下：</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a) 优先使用物理关系参数（包括但不限于生产量、生产工时等）进行分配</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b) 无法找到物理关系时</w:t>
      </w:r>
      <w:r>
        <w:rPr>
          <w:rFonts w:ascii="Times New Roman" w:eastAsiaTheme="minorEastAsia"/>
          <w:sz w:val="24"/>
          <w:szCs w:val="24"/>
        </w:rPr>
        <w:t>，</w:t>
      </w:r>
      <w:r>
        <w:rPr>
          <w:rFonts w:hint="eastAsia" w:ascii="Times New Roman" w:eastAsiaTheme="minorEastAsia"/>
          <w:sz w:val="24"/>
          <w:szCs w:val="24"/>
        </w:rPr>
        <w:t>则依经济价值进行分配</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c) 若使用其他分配方法</w:t>
      </w:r>
      <w:r>
        <w:rPr>
          <w:rFonts w:ascii="Times New Roman" w:eastAsiaTheme="minorEastAsia"/>
          <w:sz w:val="24"/>
          <w:szCs w:val="24"/>
        </w:rPr>
        <w:t>，</w:t>
      </w:r>
      <w:r>
        <w:rPr>
          <w:rFonts w:hint="eastAsia" w:ascii="Times New Roman" w:eastAsiaTheme="minorEastAsia"/>
          <w:sz w:val="24"/>
          <w:szCs w:val="24"/>
        </w:rPr>
        <w:t>需提供所使用参数的基础及计算说明</w:t>
      </w:r>
      <w:r>
        <w:rPr>
          <w:rFonts w:ascii="Times New Roman" w:eastAsiaTheme="minorEastAsia"/>
          <w:sz w:val="24"/>
          <w:szCs w:val="24"/>
        </w:rPr>
        <w:t>。</w:t>
      </w:r>
    </w:p>
    <w:p>
      <w:pPr>
        <w:pStyle w:val="23"/>
        <w:numPr>
          <w:ilvl w:val="1"/>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现场数据质量要求</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在开展产品碳足迹研究的组织拥有财务或运营控制权的情况下</w:t>
      </w:r>
      <w:r>
        <w:rPr>
          <w:rFonts w:ascii="Times New Roman" w:eastAsiaTheme="minorEastAsia"/>
          <w:sz w:val="24"/>
          <w:szCs w:val="24"/>
        </w:rPr>
        <w:t>，</w:t>
      </w:r>
      <w:r>
        <w:rPr>
          <w:rFonts w:hint="eastAsia" w:ascii="Times New Roman" w:eastAsiaTheme="minorEastAsia"/>
          <w:sz w:val="24"/>
          <w:szCs w:val="24"/>
        </w:rPr>
        <w:t>应收集现场数据</w:t>
      </w:r>
      <w:r>
        <w:rPr>
          <w:rFonts w:ascii="Times New Roman" w:eastAsiaTheme="minorEastAsia"/>
          <w:sz w:val="24"/>
          <w:szCs w:val="24"/>
        </w:rPr>
        <w:t>。</w:t>
      </w:r>
      <w:r>
        <w:rPr>
          <w:rFonts w:hint="eastAsia" w:ascii="Times New Roman" w:eastAsiaTheme="minorEastAsia"/>
          <w:sz w:val="24"/>
          <w:szCs w:val="24"/>
        </w:rPr>
        <w:t>所收集的过程数据应具有代表性</w:t>
      </w:r>
      <w:r>
        <w:rPr>
          <w:rFonts w:ascii="Times New Roman" w:eastAsiaTheme="minorEastAsia"/>
          <w:sz w:val="24"/>
          <w:szCs w:val="24"/>
        </w:rPr>
        <w:t>。</w:t>
      </w:r>
      <w:r>
        <w:rPr>
          <w:rFonts w:hint="eastAsia" w:ascii="Times New Roman" w:eastAsiaTheme="minorEastAsia"/>
          <w:sz w:val="24"/>
          <w:szCs w:val="24"/>
        </w:rPr>
        <w:t>对于最重要的单元过程</w:t>
      </w:r>
      <w:r>
        <w:rPr>
          <w:rFonts w:ascii="Times New Roman" w:eastAsiaTheme="minorEastAsia"/>
          <w:sz w:val="24"/>
          <w:szCs w:val="24"/>
        </w:rPr>
        <w:t>，</w:t>
      </w:r>
      <w:r>
        <w:rPr>
          <w:rFonts w:hint="eastAsia" w:ascii="Times New Roman" w:eastAsiaTheme="minorEastAsia"/>
          <w:sz w:val="24"/>
          <w:szCs w:val="24"/>
        </w:rPr>
        <w:t>即使没有财务或运营控制权</w:t>
      </w:r>
      <w:r>
        <w:rPr>
          <w:rFonts w:ascii="Times New Roman" w:eastAsiaTheme="minorEastAsia"/>
          <w:sz w:val="24"/>
          <w:szCs w:val="24"/>
        </w:rPr>
        <w:t>，</w:t>
      </w:r>
      <w:r>
        <w:rPr>
          <w:rFonts w:hint="eastAsia" w:ascii="Times New Roman" w:eastAsiaTheme="minorEastAsia"/>
          <w:sz w:val="24"/>
          <w:szCs w:val="24"/>
        </w:rPr>
        <w:t>也宜使用现场数据</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数据收集与处理过程中</w:t>
      </w:r>
      <w:r>
        <w:rPr>
          <w:rFonts w:ascii="Times New Roman" w:eastAsiaTheme="minorEastAsia"/>
          <w:sz w:val="24"/>
          <w:szCs w:val="24"/>
        </w:rPr>
        <w:t>，</w:t>
      </w:r>
      <w:r>
        <w:rPr>
          <w:rFonts w:hint="eastAsia" w:ascii="Times New Roman" w:eastAsiaTheme="minorEastAsia"/>
          <w:sz w:val="24"/>
          <w:szCs w:val="24"/>
        </w:rPr>
        <w:t>相关数据应满足以下数据质量要求</w:t>
      </w:r>
      <w:r>
        <w:rPr>
          <w:rFonts w:ascii="Times New Roman" w:eastAsiaTheme="minorEastAsia"/>
          <w:sz w:val="24"/>
          <w:szCs w:val="24"/>
        </w:rPr>
        <w:t>：</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时间覆盖范围</w:t>
      </w:r>
      <w:r>
        <w:rPr>
          <w:rFonts w:ascii="Times New Roman" w:eastAsiaTheme="minorEastAsia"/>
          <w:sz w:val="24"/>
          <w:szCs w:val="24"/>
        </w:rPr>
        <w:t>：</w:t>
      </w:r>
      <w:r>
        <w:rPr>
          <w:rFonts w:hint="eastAsia" w:ascii="Times New Roman" w:eastAsiaTheme="minorEastAsia"/>
          <w:sz w:val="24"/>
          <w:szCs w:val="24"/>
        </w:rPr>
        <w:t>数据的年份和所收集数据的最小时间长度（例如</w:t>
      </w:r>
      <w:r>
        <w:rPr>
          <w:rFonts w:ascii="Times New Roman" w:eastAsiaTheme="minorEastAsia"/>
          <w:sz w:val="24"/>
          <w:szCs w:val="24"/>
        </w:rPr>
        <w:t>：</w:t>
      </w:r>
      <w:r>
        <w:rPr>
          <w:rFonts w:hint="eastAsia" w:ascii="Times New Roman" w:eastAsiaTheme="minorEastAsia"/>
          <w:sz w:val="24"/>
          <w:szCs w:val="24"/>
        </w:rPr>
        <w:t>一年）。</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技术覆盖范围</w:t>
      </w:r>
      <w:r>
        <w:rPr>
          <w:rFonts w:ascii="Times New Roman" w:eastAsiaTheme="minorEastAsia"/>
          <w:sz w:val="24"/>
          <w:szCs w:val="24"/>
        </w:rPr>
        <w:t>：</w:t>
      </w:r>
      <w:r>
        <w:rPr>
          <w:rFonts w:hint="eastAsia" w:ascii="Times New Roman" w:eastAsiaTheme="minorEastAsia"/>
          <w:sz w:val="24"/>
          <w:szCs w:val="24"/>
        </w:rPr>
        <w:t>具体的技术或技术组合。</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精度</w:t>
      </w:r>
      <w:r>
        <w:rPr>
          <w:rFonts w:ascii="Times New Roman" w:eastAsiaTheme="minorEastAsia"/>
          <w:sz w:val="24"/>
          <w:szCs w:val="24"/>
        </w:rPr>
        <w:t>：</w:t>
      </w:r>
      <w:r>
        <w:rPr>
          <w:rFonts w:hint="eastAsia" w:ascii="Times New Roman" w:eastAsiaTheme="minorEastAsia"/>
          <w:sz w:val="24"/>
          <w:szCs w:val="24"/>
        </w:rPr>
        <w:t>对每个数据值的可变性的度量（例如</w:t>
      </w:r>
      <w:r>
        <w:rPr>
          <w:rFonts w:ascii="Times New Roman" w:eastAsiaTheme="minorEastAsia"/>
          <w:sz w:val="24"/>
          <w:szCs w:val="24"/>
        </w:rPr>
        <w:t>：</w:t>
      </w:r>
      <w:r>
        <w:rPr>
          <w:rFonts w:hint="eastAsia" w:ascii="Times New Roman" w:eastAsiaTheme="minorEastAsia"/>
          <w:sz w:val="24"/>
          <w:szCs w:val="24"/>
        </w:rPr>
        <w:t>方差）。</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完整性</w:t>
      </w:r>
      <w:r>
        <w:rPr>
          <w:rFonts w:ascii="Times New Roman" w:eastAsiaTheme="minorEastAsia"/>
          <w:sz w:val="24"/>
          <w:szCs w:val="24"/>
        </w:rPr>
        <w:t>：</w:t>
      </w:r>
      <w:r>
        <w:rPr>
          <w:rFonts w:hint="eastAsia" w:ascii="Times New Roman" w:eastAsiaTheme="minorEastAsia"/>
          <w:sz w:val="24"/>
          <w:szCs w:val="24"/>
        </w:rPr>
        <w:t>测量或测算的流所占的比例。</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一致性</w:t>
      </w:r>
      <w:r>
        <w:rPr>
          <w:rFonts w:ascii="Times New Roman" w:eastAsiaTheme="minorEastAsia"/>
          <w:sz w:val="24"/>
          <w:szCs w:val="24"/>
        </w:rPr>
        <w:t>：</w:t>
      </w:r>
      <w:r>
        <w:rPr>
          <w:rFonts w:hint="eastAsia" w:ascii="Times New Roman" w:eastAsiaTheme="minorEastAsia"/>
          <w:sz w:val="24"/>
          <w:szCs w:val="24"/>
        </w:rPr>
        <w:t>对研究方法学是否能在敏感性分析的不同组成部分中统一应用而进行的定性评价。</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可重现性</w:t>
      </w:r>
      <w:r>
        <w:rPr>
          <w:rFonts w:ascii="Times New Roman" w:eastAsiaTheme="minorEastAsia"/>
          <w:sz w:val="24"/>
          <w:szCs w:val="24"/>
        </w:rPr>
        <w:t>：</w:t>
      </w:r>
      <w:r>
        <w:rPr>
          <w:rFonts w:hint="eastAsia" w:ascii="Times New Roman" w:eastAsiaTheme="minorEastAsia"/>
          <w:sz w:val="24"/>
          <w:szCs w:val="24"/>
        </w:rPr>
        <w:t>对其他独立从业人员采用同一方法学和数值信息重现相同研究结果的定性评价。</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数据来源</w:t>
      </w:r>
      <w:r>
        <w:rPr>
          <w:rFonts w:ascii="Times New Roman" w:eastAsiaTheme="minorEastAsia"/>
          <w:sz w:val="24"/>
          <w:szCs w:val="24"/>
        </w:rPr>
        <w:t>。</w:t>
      </w:r>
    </w:p>
    <w:p>
      <w:pPr>
        <w:pStyle w:val="23"/>
        <w:numPr>
          <w:ilvl w:val="0"/>
          <w:numId w:val="3"/>
        </w:numPr>
        <w:spacing w:line="360" w:lineRule="auto"/>
        <w:ind w:firstLine="480"/>
        <w:rPr>
          <w:rFonts w:ascii="Times New Roman" w:eastAsiaTheme="minorEastAsia"/>
          <w:sz w:val="24"/>
          <w:szCs w:val="24"/>
        </w:rPr>
      </w:pPr>
      <w:r>
        <w:rPr>
          <w:rFonts w:hint="eastAsia" w:ascii="Times New Roman" w:eastAsiaTheme="minorEastAsia"/>
          <w:sz w:val="24"/>
          <w:szCs w:val="24"/>
        </w:rPr>
        <w:t>信息的不确定性</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开展产品碳足迹研究的组织宜建立数据管理系统</w:t>
      </w:r>
      <w:r>
        <w:rPr>
          <w:rFonts w:ascii="Times New Roman" w:eastAsiaTheme="minorEastAsia"/>
          <w:sz w:val="24"/>
          <w:szCs w:val="24"/>
        </w:rPr>
        <w:t>，</w:t>
      </w:r>
      <w:r>
        <w:rPr>
          <w:rFonts w:hint="eastAsia" w:ascii="Times New Roman" w:eastAsiaTheme="minorEastAsia"/>
          <w:sz w:val="24"/>
          <w:szCs w:val="24"/>
        </w:rPr>
        <w:t>保留相关文件和记录</w:t>
      </w:r>
      <w:r>
        <w:rPr>
          <w:rFonts w:ascii="Times New Roman" w:eastAsiaTheme="minorEastAsia"/>
          <w:sz w:val="24"/>
          <w:szCs w:val="24"/>
        </w:rPr>
        <w:t>，</w:t>
      </w:r>
      <w:r>
        <w:rPr>
          <w:rFonts w:hint="eastAsia" w:ascii="Times New Roman" w:eastAsiaTheme="minorEastAsia"/>
          <w:sz w:val="24"/>
          <w:szCs w:val="24"/>
        </w:rPr>
        <w:t>进行数据质量评价</w:t>
      </w:r>
      <w:r>
        <w:rPr>
          <w:rFonts w:ascii="Times New Roman" w:eastAsiaTheme="minorEastAsia"/>
          <w:sz w:val="24"/>
          <w:szCs w:val="24"/>
        </w:rPr>
        <w:t>，</w:t>
      </w:r>
      <w:r>
        <w:rPr>
          <w:rFonts w:hint="eastAsia" w:ascii="Times New Roman" w:eastAsiaTheme="minorEastAsia"/>
          <w:sz w:val="24"/>
          <w:szCs w:val="24"/>
        </w:rPr>
        <w:t>并持续提高数据质量</w:t>
      </w:r>
      <w:r>
        <w:rPr>
          <w:rFonts w:ascii="Times New Roman" w:eastAsiaTheme="minorEastAsia"/>
          <w:sz w:val="24"/>
          <w:szCs w:val="24"/>
        </w:rPr>
        <w:t>。</w:t>
      </w:r>
      <w:r>
        <w:rPr>
          <w:rFonts w:hint="eastAsia" w:ascii="Times New Roman" w:eastAsiaTheme="minorEastAsia"/>
          <w:sz w:val="24"/>
          <w:szCs w:val="24"/>
        </w:rPr>
        <w:t>数据质量要求应符合GB/T 24067 中规定的关于数据和数据质量的原则。初级数据应满足数据质量等级（DQR）≤2，其他次级数据应满足数据质量等级（DQR）≤3。DQR具体说明见附录E。</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22" w:name="_Toc16047"/>
      <w:r>
        <w:rPr>
          <w:rFonts w:ascii="Times New Roman" w:hAnsi="Times New Roman" w:cs="Times New Roman"/>
        </w:rPr>
        <w:t>雪地轮胎产品</w:t>
      </w:r>
      <w:r>
        <w:rPr>
          <w:rFonts w:hint="eastAsia" w:ascii="Times New Roman" w:hAnsi="Times New Roman" w:cs="Times New Roman"/>
        </w:rPr>
        <w:t>碳足迹</w:t>
      </w:r>
      <w:r>
        <w:rPr>
          <w:rFonts w:ascii="Times New Roman" w:hAnsi="Times New Roman" w:cs="Times New Roman"/>
        </w:rPr>
        <w:t>量化</w:t>
      </w:r>
      <w:r>
        <w:rPr>
          <w:rFonts w:hint="eastAsia" w:ascii="Times New Roman" w:hAnsi="Times New Roman" w:cs="Times New Roman"/>
        </w:rPr>
        <w:t>方法</w:t>
      </w:r>
      <w:bookmarkEnd w:id="22"/>
    </w:p>
    <w:p>
      <w:pPr>
        <w:pStyle w:val="23"/>
        <w:numPr>
          <w:ilvl w:val="1"/>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产品全生命周期碳足迹</w:t>
      </w:r>
    </w:p>
    <w:p>
      <w:pPr>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碳足迹按式（1）进行计算，计算结果圆整（四舍五入）至小数点后两位：</w:t>
      </w:r>
    </w:p>
    <w:p>
      <w:pPr>
        <w:ind w:firstLine="360" w:firstLineChars="150"/>
        <w:rPr>
          <w:rFonts w:hAnsi="Cambria Math"/>
          <w:iCs/>
          <w:sz w:val="24"/>
          <w:szCs w:val="24"/>
        </w:rPr>
      </w:pPr>
      <w:r>
        <w:rPr>
          <w:rFonts w:hint="eastAsia" w:hAnsi="Cambria Math"/>
          <w:iCs/>
          <w:sz w:val="24"/>
          <w:szCs w:val="24"/>
        </w:rPr>
        <w:t xml:space="preserve">  </w:t>
      </w:r>
    </w:p>
    <w:p>
      <w:pPr>
        <w:ind w:firstLine="360" w:firstLineChars="150"/>
        <w:rPr>
          <w:rFonts w:hAnsi="Times New Roman"/>
          <w:sz w:val="24"/>
          <w:szCs w:val="24"/>
        </w:rPr>
      </w:pPr>
      <w:r>
        <w:rPr>
          <w:rFonts w:hint="eastAsia" w:hAnsi="Cambria Math"/>
          <w:iCs/>
          <w:sz w:val="24"/>
          <w:szCs w:val="24"/>
        </w:rPr>
        <w:t xml:space="preserve">              </w:t>
      </w:r>
      <m:oMath>
        <m:sSub>
          <m:sSubPr>
            <m:ctrlPr>
              <w:rPr>
                <w:rFonts w:ascii="Cambria Math" w:hAnsi="Cambria Math"/>
                <w:i/>
                <w:iCs/>
                <w:sz w:val="24"/>
                <w:szCs w:val="24"/>
              </w:rPr>
            </m:ctrlPr>
          </m:sSubPr>
          <m:e>
            <m:r>
              <m:rPr/>
              <w:rPr>
                <w:rFonts w:ascii="Cambria Math" w:hAnsi="Cambria Math"/>
                <w:sz w:val="24"/>
                <w:szCs w:val="24"/>
              </w:rPr>
              <m:t>C</m:t>
            </m:r>
            <m:ctrlPr>
              <w:rPr>
                <w:rFonts w:ascii="Cambria Math" w:hAnsi="Cambria Math"/>
                <w:i/>
                <w:iCs/>
                <w:sz w:val="24"/>
                <w:szCs w:val="24"/>
              </w:rPr>
            </m:ctrlPr>
          </m:e>
          <m:sub>
            <m:r>
              <m:rPr>
                <m:sty m:val="p"/>
              </m:rPr>
              <w:rPr>
                <w:rFonts w:ascii="Cambria Math" w:hAnsi="Cambria Math"/>
                <w:sz w:val="24"/>
                <w:szCs w:val="24"/>
              </w:rPr>
              <m:t>雪地轮胎</m:t>
            </m:r>
            <m:ctrlPr>
              <w:rPr>
                <w:rFonts w:ascii="Cambria Math" w:hAnsi="Cambria Math"/>
                <w:i/>
                <w:iCs/>
                <w:sz w:val="24"/>
                <w:szCs w:val="24"/>
              </w:rPr>
            </m:ctrlPr>
          </m:sub>
        </m:sSub>
        <m:r>
          <m:rPr>
            <m:sty m:val="p"/>
          </m:rPr>
          <w:rPr>
            <w:rFonts w:ascii="Times New Roman" w:hAnsi="Times New Roman"/>
            <w:sz w:val="24"/>
            <w:szCs w:val="24"/>
          </w:rPr>
          <m:t>=</m:t>
        </m:r>
        <m:sSub>
          <m:sSubPr>
            <m:ctrlPr>
              <w:rPr>
                <w:rFonts w:ascii="Cambria Math" w:hAnsi="Cambria Math"/>
                <w:i/>
                <w:iCs/>
                <w:sz w:val="24"/>
                <w:szCs w:val="24"/>
              </w:rPr>
            </m:ctrlPr>
          </m:sSubPr>
          <m:e>
            <m:r>
              <m:rPr/>
              <w:rPr>
                <w:rFonts w:ascii="Cambria Math" w:hAnsi="Cambria Math"/>
                <w:sz w:val="24"/>
                <w:szCs w:val="24"/>
              </w:rPr>
              <m:t>C</m:t>
            </m:r>
            <m:ctrlPr>
              <w:rPr>
                <w:rFonts w:ascii="Cambria Math" w:hAnsi="Cambria Math"/>
                <w:i/>
                <w:iCs/>
                <w:sz w:val="24"/>
                <w:szCs w:val="24"/>
              </w:rPr>
            </m:ctrlPr>
          </m:e>
          <m:sub>
            <m:r>
              <m:rPr>
                <m:sty m:val="p"/>
              </m:rPr>
              <w:rPr>
                <w:rFonts w:ascii="Cambria Math" w:hAnsi="Cambria Math"/>
                <w:sz w:val="24"/>
                <w:szCs w:val="24"/>
              </w:rPr>
              <m:t>材料</m:t>
            </m:r>
            <m:ctrlPr>
              <w:rPr>
                <w:rFonts w:ascii="Cambria Math" w:hAnsi="Cambria Math"/>
                <w:i/>
                <w:iCs/>
                <w:sz w:val="24"/>
                <w:szCs w:val="24"/>
              </w:rPr>
            </m:ctrlPr>
          </m:sub>
        </m:sSub>
        <m:r>
          <m:rPr/>
          <w:rPr>
            <w:rFonts w:ascii="Cambria Math" w:hAnsi="Cambria Math"/>
            <w:sz w:val="24"/>
            <w:szCs w:val="24"/>
          </w:rPr>
          <m:t>+</m:t>
        </m:r>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生产</m:t>
            </m:r>
            <m:ctrlPr>
              <w:rPr>
                <w:rFonts w:ascii="Cambria Math" w:hAnsi="Cambria Math"/>
                <w:i/>
                <w:iCs/>
                <w:sz w:val="24"/>
                <w:szCs w:val="24"/>
              </w:rPr>
            </m:ctrlPr>
          </m:sub>
        </m:sSub>
        <m:r>
          <m:rPr/>
          <w:rPr>
            <w:rFonts w:ascii="Cambria Math" w:hAnsi="Cambria Math"/>
            <w:sz w:val="24"/>
            <w:szCs w:val="24"/>
          </w:rPr>
          <m:t>+</m:t>
        </m:r>
        <m:r>
          <m:rPr/>
          <w:rPr>
            <w:rFonts w:ascii="Times New Roman" w:hAnsi="Times New Roman"/>
            <w:sz w:val="24"/>
            <w:szCs w:val="24"/>
          </w:rPr>
          <m:t xml:space="preserve"> </m:t>
        </m:r>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分销</m:t>
            </m:r>
            <m:ctrlPr>
              <w:rPr>
                <w:rFonts w:ascii="Cambria Math" w:hAnsi="Cambria Math"/>
                <w:i/>
                <w:iCs/>
                <w:sz w:val="24"/>
                <w:szCs w:val="24"/>
              </w:rPr>
            </m:ctrlPr>
          </m:sub>
        </m:sSub>
        <m:r>
          <m:rPr/>
          <w:rPr>
            <w:rFonts w:ascii="Cambria Math" w:hAnsi="Cambria Math"/>
            <w:sz w:val="24"/>
            <w:szCs w:val="24"/>
          </w:rPr>
          <m:t>+</m:t>
        </m:r>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使用</m:t>
            </m:r>
            <m:ctrlPr>
              <w:rPr>
                <w:rFonts w:ascii="Cambria Math" w:hAnsi="Cambria Math"/>
                <w:i/>
                <w:iCs/>
                <w:sz w:val="24"/>
                <w:szCs w:val="24"/>
              </w:rPr>
            </m:ctrlPr>
          </m:sub>
        </m:sSub>
        <m:r>
          <m:rPr/>
          <w:rPr>
            <w:rFonts w:ascii="Cambria Math" w:hAnsi="Cambria Math"/>
            <w:sz w:val="24"/>
            <w:szCs w:val="24"/>
          </w:rPr>
          <m:t>+</m:t>
        </m:r>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废弃</m:t>
            </m:r>
            <m:ctrlPr>
              <w:rPr>
                <w:rFonts w:ascii="Cambria Math" w:hAnsi="Cambria Math"/>
                <w:i/>
                <w:iCs/>
                <w:sz w:val="24"/>
                <w:szCs w:val="24"/>
              </w:rPr>
            </m:ctrlPr>
          </m:sub>
        </m:sSub>
      </m:oMath>
      <w:r>
        <w:rPr>
          <w:rFonts w:hint="eastAsia" w:hAnsi="Times New Roman"/>
          <w:sz w:val="24"/>
          <w:szCs w:val="24"/>
        </w:rPr>
        <w:t xml:space="preserve">                  </w:t>
      </w:r>
      <w:r>
        <w:rPr>
          <w:rFonts w:hint="eastAsia" w:ascii="Times New Roman"/>
          <w:sz w:val="24"/>
          <w:szCs w:val="24"/>
        </w:rPr>
        <w:t>（1）</w:t>
      </w:r>
    </w:p>
    <w:p>
      <w:pPr>
        <w:ind w:firstLine="1440" w:firstLineChars="600"/>
        <w:rPr>
          <w:rFonts w:ascii="Times New Roman"/>
          <w:sz w:val="24"/>
          <w:szCs w:val="24"/>
        </w:rPr>
      </w:pPr>
    </w:p>
    <w:p>
      <w:pPr>
        <w:rPr>
          <w:rFonts w:ascii="Times New Roman" w:hAnsi="Times New Roman" w:cs="Times New Roman"/>
          <w:kern w:val="0"/>
          <w:sz w:val="24"/>
          <w:szCs w:val="24"/>
        </w:rPr>
      </w:pPr>
      <w:r>
        <w:rPr>
          <w:rFonts w:hint="eastAsia" w:ascii="Times New Roman" w:hAnsi="Times New Roman" w:cs="Times New Roman"/>
          <w:kern w:val="0"/>
          <w:sz w:val="24"/>
          <w:szCs w:val="24"/>
        </w:rPr>
        <w:t>式中：</w:t>
      </w:r>
    </w:p>
    <w:p>
      <w:pPr>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w:rPr>
                <w:rFonts w:ascii="Cambria Math" w:hAnsi="Cambria Math"/>
                <w:sz w:val="24"/>
                <w:szCs w:val="24"/>
              </w:rPr>
              <m:t>C</m:t>
            </m:r>
            <m:ctrlPr>
              <w:rPr>
                <w:rFonts w:ascii="Cambria Math" w:hAnsi="Cambria Math"/>
                <w:i/>
                <w:iCs/>
                <w:sz w:val="24"/>
                <w:szCs w:val="24"/>
              </w:rPr>
            </m:ctrlPr>
          </m:e>
          <m:sub>
            <m:r>
              <m:rPr>
                <m:sty m:val="p"/>
              </m:rPr>
              <w:rPr>
                <w:rFonts w:ascii="Cambria Math" w:hAnsi="Cambria Math"/>
                <w:sz w:val="24"/>
                <w:szCs w:val="24"/>
              </w:rPr>
              <m:t>雪地轮胎</m:t>
            </m:r>
            <m:ctrlPr>
              <w:rPr>
                <w:rFonts w:ascii="Cambria Math" w:hAnsi="Cambria Math"/>
                <w:i/>
                <w:iCs/>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碳足迹，单位为千克二氧化碳当量（kgCO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p>
    <w:p>
      <w:pPr>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w:rPr>
                <w:rFonts w:ascii="Cambria Math" w:hAnsi="Cambria Math"/>
                <w:sz w:val="24"/>
                <w:szCs w:val="24"/>
              </w:rPr>
              <m:t>C</m:t>
            </m:r>
            <m:ctrlPr>
              <w:rPr>
                <w:rFonts w:ascii="Cambria Math" w:hAnsi="Cambria Math"/>
                <w:i/>
                <w:iCs/>
                <w:sz w:val="24"/>
                <w:szCs w:val="24"/>
              </w:rPr>
            </m:ctrlPr>
          </m:e>
          <m:sub>
            <m:r>
              <m:rPr>
                <m:sty m:val="p"/>
              </m:rPr>
              <w:rPr>
                <w:rFonts w:ascii="Cambria Math" w:hAnsi="Cambria Math"/>
                <w:sz w:val="24"/>
                <w:szCs w:val="24"/>
              </w:rPr>
              <m:t>材料</m:t>
            </m:r>
            <m:ctrlPr>
              <w:rPr>
                <w:rFonts w:ascii="Cambria Math" w:hAnsi="Cambria Math"/>
                <w:i/>
                <w:iCs/>
                <w:sz w:val="24"/>
                <w:szCs w:val="24"/>
              </w:rPr>
            </m:ctrlPr>
          </m:sub>
        </m:sSub>
      </m:oMath>
      <w:r>
        <w:rPr>
          <w:rFonts w:ascii="Times New Roman" w:hAnsi="Times New Roman" w:cs="Times New Roman"/>
          <w:kern w:val="0"/>
          <w:sz w:val="24"/>
          <w:szCs w:val="24"/>
        </w:rPr>
        <w:t>——</w:t>
      </w:r>
      <w:r>
        <w:rPr>
          <w:rFonts w:hint="eastAsia" w:ascii="Times New Roman" w:hAnsi="Times New Roman" w:cs="Times New Roman"/>
          <w:kern w:val="0"/>
          <w:sz w:val="24"/>
          <w:szCs w:val="24"/>
        </w:rPr>
        <w:t>材料获取阶段碳足迹，单位为千克二氧化碳当量（kgCO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p>
    <w:p>
      <w:pPr>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生产</m:t>
            </m:r>
            <m:ctrlPr>
              <w:rPr>
                <w:rFonts w:ascii="Cambria Math" w:hAnsi="Cambria Math"/>
                <w:i/>
                <w:iCs/>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生产阶段碳足迹，单位为千克二氧化碳当量（kgCO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p>
    <w:p>
      <w:pPr>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分销</m:t>
            </m:r>
            <m:ctrlPr>
              <w:rPr>
                <w:rFonts w:ascii="Cambria Math" w:hAnsi="Cambria Math"/>
                <w:i/>
                <w:iCs/>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分销阶段碳足迹，单位为千克二氧化碳当量（kgCO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p>
    <w:p>
      <w:pPr>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使用</m:t>
            </m:r>
            <m:ctrlPr>
              <w:rPr>
                <w:rFonts w:ascii="Cambria Math" w:hAnsi="Cambria Math"/>
                <w:i/>
                <w:iCs/>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使用阶段碳足迹，单位为千克二氧化碳当量（kgCO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p>
    <w:p>
      <w:pPr>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m:nor/>
              </m:rPr>
              <w:rPr>
                <w:rFonts w:ascii="Cambria Math" w:hAnsi="Cambria Math"/>
                <w:i/>
                <w:iCs/>
                <w:sz w:val="24"/>
                <w:szCs w:val="24"/>
              </w:rPr>
              <m:t>C</m:t>
            </m:r>
            <m:ctrlPr>
              <w:rPr>
                <w:rFonts w:ascii="Cambria Math" w:hAnsi="Cambria Math"/>
                <w:i/>
                <w:iCs/>
                <w:sz w:val="24"/>
                <w:szCs w:val="24"/>
              </w:rPr>
            </m:ctrlPr>
          </m:e>
          <m:sub>
            <m:r>
              <m:rPr>
                <m:sty m:val="p"/>
              </m:rPr>
              <w:rPr>
                <w:rFonts w:ascii="Cambria Math" w:hAnsi="Cambria Math"/>
                <w:sz w:val="24"/>
                <w:szCs w:val="24"/>
              </w:rPr>
              <m:t>废弃</m:t>
            </m:r>
            <m:ctrlPr>
              <w:rPr>
                <w:rFonts w:ascii="Cambria Math" w:hAnsi="Cambria Math"/>
                <w:i/>
                <w:iCs/>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废弃处理过程碳足迹，单位为千克二氧化碳当量（kgCO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p>
    <w:p>
      <w:pPr>
        <w:ind w:firstLine="420" w:firstLineChars="175"/>
        <w:rPr>
          <w:rFonts w:ascii="Times New Roman" w:hAnsi="Times New Roman" w:cs="Times New Roman"/>
          <w:kern w:val="0"/>
          <w:sz w:val="24"/>
          <w:szCs w:val="24"/>
        </w:rPr>
      </w:pPr>
    </w:p>
    <w:p>
      <w:pPr>
        <w:pStyle w:val="23"/>
        <w:numPr>
          <w:ilvl w:val="1"/>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全生命周期各阶段碳足迹</w:t>
      </w:r>
    </w:p>
    <w:p>
      <w:pPr>
        <w:pStyle w:val="23"/>
        <w:numPr>
          <w:ilvl w:val="2"/>
          <w:numId w:val="2"/>
        </w:numPr>
        <w:spacing w:line="360" w:lineRule="auto"/>
        <w:ind w:firstLineChars="0"/>
        <w:rPr>
          <w:rFonts w:ascii="Times New Roman" w:eastAsiaTheme="minorEastAsia"/>
          <w:sz w:val="24"/>
          <w:szCs w:val="24"/>
        </w:rPr>
      </w:pPr>
      <w:r>
        <w:rPr>
          <w:rFonts w:hint="eastAsia" w:ascii="Times New Roman" w:eastAsiaTheme="minorEastAsia"/>
          <w:sz w:val="24"/>
          <w:szCs w:val="24"/>
        </w:rPr>
        <w:t>材料获取阶段碳足迹</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材料获取阶段包括获取及加工过程、再循环材料生产加工过程以及由材料供应商运输到</w:t>
      </w:r>
      <w:r>
        <w:rPr>
          <w:rFonts w:ascii="Times New Roman" w:eastAsiaTheme="minorEastAsia"/>
          <w:sz w:val="24"/>
          <w:szCs w:val="24"/>
        </w:rPr>
        <w:t>雪地轮胎产品</w:t>
      </w:r>
      <w:r>
        <w:rPr>
          <w:rFonts w:hint="eastAsia" w:ascii="Times New Roman" w:eastAsiaTheme="minorEastAsia"/>
          <w:sz w:val="24"/>
          <w:szCs w:val="24"/>
        </w:rPr>
        <w:t>制造商工厂处的运输过程。原生材料获取及加工过程、再循环材料生产加工过程可以采用现场数据，现场数据的计算过程参考式（4）。材料获取阶段碳足迹应按式（2）进行计算：</w:t>
      </w:r>
    </w:p>
    <w:p>
      <w:pPr>
        <w:pStyle w:val="23"/>
        <w:spacing w:line="360" w:lineRule="auto"/>
        <w:ind w:firstLine="1980" w:firstLineChars="825"/>
        <w:rPr>
          <w:rFonts w:ascii="Times New Roman" w:eastAsiaTheme="minorEastAsia"/>
          <w:sz w:val="24"/>
          <w:szCs w:val="24"/>
        </w:rPr>
      </w:pPr>
      <m:oMath>
        <m:r>
          <m:rPr>
            <m:sty m:val="p"/>
          </m:rPr>
          <w:rPr>
            <w:rFonts w:ascii="Cambria Math" w:eastAsiaTheme="minorEastAsia"/>
            <w:sz w:val="24"/>
            <w:szCs w:val="24"/>
          </w:rPr>
          <m:t xml:space="preserve"> </m:t>
        </m:r>
        <m:r>
          <m:rPr>
            <m:sty m:val="p"/>
          </m:rPr>
          <w:rPr>
            <w:rFonts w:ascii="Cambria Math" w:hAnsi="Cambria Math" w:eastAsiaTheme="minorEastAsia"/>
            <w:sz w:val="24"/>
            <w:szCs w:val="24"/>
          </w:rPr>
          <m:t xml:space="preserve"> </m:t>
        </m:r>
        <m:sSub>
          <m:sSubPr>
            <m:ctrlPr>
              <w:rPr>
                <w:rFonts w:ascii="Cambria Math" w:hAnsi="Cambria Math" w:eastAsiaTheme="minorEastAsia"/>
                <w:i/>
                <w:sz w:val="24"/>
                <w:szCs w:val="24"/>
              </w:rPr>
            </m:ctrlPr>
          </m:sSubPr>
          <m:e>
            <m:r>
              <m:rPr/>
              <w:rPr>
                <w:rFonts w:ascii="Cambria Math" w:hAnsi="Cambria Math" w:eastAsiaTheme="minorEastAsia"/>
                <w:sz w:val="24"/>
                <w:szCs w:val="24"/>
              </w:rPr>
              <m:t>C</m:t>
            </m:r>
            <m:ctrlPr>
              <w:rPr>
                <w:rFonts w:ascii="Cambria Math" w:hAnsi="Cambria Math" w:eastAsiaTheme="minorEastAsia"/>
                <w:i/>
                <w:sz w:val="24"/>
                <w:szCs w:val="24"/>
              </w:rPr>
            </m:ctrlPr>
          </m:e>
          <m:sub>
            <m:r>
              <m:rPr>
                <m:sty m:val="p"/>
              </m:rPr>
              <w:rPr>
                <w:rFonts w:ascii="Cambria Math" w:hAnsi="Cambria Math" w:eastAsiaTheme="minorEastAsia"/>
                <w:sz w:val="24"/>
                <w:szCs w:val="24"/>
              </w:rPr>
              <m:t>材料</m:t>
            </m:r>
            <m:ctrlPr>
              <w:rPr>
                <w:rFonts w:ascii="Cambria Math" w:hAnsi="Cambria Math" w:eastAsiaTheme="minorEastAsia"/>
                <w:i/>
                <w:sz w:val="24"/>
                <w:szCs w:val="24"/>
              </w:rPr>
            </m:ctrlPr>
          </m:sub>
        </m:sSub>
        <m:r>
          <m:rPr/>
          <w:rPr>
            <w:rFonts w:ascii="Cambria Math" w:hAnsi="Cambria Math" w:eastAsiaTheme="minorEastAsia"/>
            <w:sz w:val="24"/>
            <w:szCs w:val="24"/>
          </w:rPr>
          <m:t>=</m:t>
        </m:r>
        <m:nary>
          <m:naryPr>
            <m:chr m:val="∑"/>
            <m:limLoc m:val="undOvr"/>
            <m:supHide m:val="true"/>
            <m:ctrlPr>
              <w:rPr>
                <w:rFonts w:ascii="Cambria Math" w:hAnsi="Cambria Math" w:eastAsiaTheme="minorEastAsia"/>
                <w:sz w:val="24"/>
                <w:szCs w:val="24"/>
              </w:rPr>
            </m:ctrlPr>
          </m:naryPr>
          <m:sub>
            <m:r>
              <m:rPr/>
              <w:rPr>
                <w:rFonts w:ascii="Cambria Math" w:hAnsi="Cambria Math" w:eastAsiaTheme="minorEastAsia"/>
                <w:sz w:val="24"/>
                <w:szCs w:val="24"/>
              </w:rPr>
              <m:t>i</m:t>
            </m:r>
            <m:ctrlPr>
              <w:rPr>
                <w:rFonts w:ascii="Cambria Math" w:hAnsi="Cambria Math" w:eastAsiaTheme="minorEastAsia"/>
                <w:sz w:val="24"/>
                <w:szCs w:val="24"/>
              </w:rPr>
            </m:ctrlPr>
          </m:sub>
          <m:sup>
            <m:ctrlPr>
              <w:rPr>
                <w:rFonts w:ascii="Cambria Math" w:hAnsi="Cambria Math" w:eastAsiaTheme="minorEastAsia"/>
                <w:sz w:val="24"/>
                <w:szCs w:val="24"/>
              </w:rPr>
            </m:ctrlPr>
          </m:sup>
          <m:e>
            <m:r>
              <m:rPr>
                <m:sty m:val="p"/>
              </m:rPr>
              <w:rPr>
                <w:rFonts w:ascii="Cambria Math" w:hAnsi="Cambria Math" w:eastAsiaTheme="minorEastAsia"/>
                <w:sz w:val="24"/>
                <w:szCs w:val="24"/>
              </w:rPr>
              <m:t>[（1−</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R</m:t>
                </m:r>
                <m:ctrlPr>
                  <w:rPr>
                    <w:rFonts w:ascii="Cambria Math" w:hAnsi="Cambria Math" w:eastAsiaTheme="minorEastAsia"/>
                    <w:i/>
                    <w:iCs/>
                    <w:sz w:val="24"/>
                    <w:szCs w:val="24"/>
                  </w:rPr>
                </m:ctrlPr>
              </m:e>
              <m:sub>
                <m:r>
                  <m:rPr/>
                  <w:rPr>
                    <w:rFonts w:ascii="Cambria Math" w:hAnsi="Cambria Math" w:eastAsiaTheme="minorEastAsia"/>
                    <w:sz w:val="24"/>
                    <w:szCs w:val="24"/>
                  </w:rPr>
                  <m:t>1,i</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r>
              <m:rPr>
                <m:sty m:val="p"/>
              </m:rPr>
              <w:rPr>
                <w:rFonts w:hint="eastAsia"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V,i</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R</m:t>
                </m:r>
                <m:ctrlPr>
                  <w:rPr>
                    <w:rFonts w:ascii="Cambria Math" w:hAnsi="Cambria Math" w:eastAsiaTheme="minorEastAsia"/>
                    <w:i/>
                    <w:iCs/>
                    <w:sz w:val="24"/>
                    <w:szCs w:val="24"/>
                  </w:rPr>
                </m:ctrlPr>
              </m:e>
              <m:sub>
                <m:r>
                  <m:rPr/>
                  <w:rPr>
                    <w:rFonts w:ascii="Cambria Math" w:hAnsi="Cambria Math" w:eastAsiaTheme="minorEastAsia"/>
                    <w:sz w:val="24"/>
                    <w:szCs w:val="24"/>
                  </w:rPr>
                  <m:t>1,i</m:t>
                </m:r>
                <m:ctrlPr>
                  <w:rPr>
                    <w:rFonts w:ascii="Cambria Math" w:hAnsi="Cambria Math" w:eastAsiaTheme="minorEastAsia"/>
                    <w:i/>
                    <w:iCs/>
                    <w:sz w:val="24"/>
                    <w:szCs w:val="24"/>
                  </w:rPr>
                </m:ctrlPr>
              </m:sub>
            </m:sSub>
            <m:r>
              <m:rPr/>
              <w:rPr>
                <w:rFonts w:hint="eastAsia"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R,i</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 xml:space="preserve">]+ </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运输</m:t>
                </m:r>
                <m:ctrlPr>
                  <w:rPr>
                    <w:rFonts w:ascii="Cambria Math" w:hAnsi="Cambria Math" w:eastAsiaTheme="minorEastAsia"/>
                    <w:i/>
                    <w:iCs/>
                    <w:sz w:val="24"/>
                    <w:szCs w:val="24"/>
                  </w:rPr>
                </m:ctrlPr>
              </m:sub>
            </m:sSub>
            <m:ctrlPr>
              <w:rPr>
                <w:rFonts w:ascii="Cambria Math" w:hAnsi="Cambria Math" w:eastAsiaTheme="minorEastAsia"/>
                <w:sz w:val="24"/>
                <w:szCs w:val="24"/>
              </w:rPr>
            </m:ctrlPr>
          </m:e>
        </m:nary>
      </m:oMath>
      <w:r>
        <w:rPr>
          <w:rFonts w:hint="eastAsia" w:ascii="Times New Roman" w:eastAsiaTheme="minorEastAsia"/>
          <w:sz w:val="24"/>
          <w:szCs w:val="24"/>
        </w:rPr>
        <w:t xml:space="preserve">              （2）</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式中：</w:t>
      </w:r>
    </w:p>
    <w:p>
      <w:pPr>
        <w:pStyle w:val="23"/>
        <w:spacing w:line="360" w:lineRule="auto"/>
        <w:ind w:firstLineChars="175"/>
        <w:rPr>
          <w:rFonts w:ascii="Times New Roman" w:eastAsiaTheme="minorEastAsia"/>
          <w:iCs/>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R</m:t>
            </m:r>
            <m:ctrlPr>
              <w:rPr>
                <w:rFonts w:ascii="Cambria Math" w:hAnsi="Cambria Math" w:eastAsiaTheme="minorEastAsia"/>
                <w:i/>
                <w:sz w:val="24"/>
                <w:szCs w:val="24"/>
              </w:rPr>
            </m:ctrlPr>
          </m:e>
          <m:sub>
            <m:r>
              <m:rPr/>
              <w:rPr>
                <w:rFonts w:ascii="Cambria Math" w:hAnsi="Cambria Math" w:eastAsiaTheme="minorEastAsia"/>
                <w:sz w:val="24"/>
                <w:szCs w:val="24"/>
              </w:rPr>
              <m:t>1,i</m:t>
            </m:r>
            <m:ctrlPr>
              <w:rPr>
                <w:rFonts w:ascii="Cambria Math" w:hAnsi="Cambria Math" w:eastAsiaTheme="minorEastAsia"/>
                <w:i/>
                <w:sz w:val="24"/>
                <w:szCs w:val="24"/>
              </w:rPr>
            </m:ctrlPr>
          </m:sub>
        </m:sSub>
      </m:oMath>
      <w:r>
        <w:rPr>
          <w:rFonts w:ascii="Times New Roman" w:eastAsiaTheme="minorEastAsia"/>
          <w:iCs/>
          <w:sz w:val="24"/>
          <w:szCs w:val="24"/>
        </w:rPr>
        <w:t>——</w:t>
      </w:r>
      <w:r>
        <w:rPr>
          <w:rFonts w:hint="eastAsia" w:ascii="Times New Roman" w:eastAsiaTheme="minorEastAsia"/>
          <w:iCs/>
          <w:sz w:val="24"/>
          <w:szCs w:val="24"/>
        </w:rPr>
        <w:t>再循环材料</w:t>
      </w:r>
      <m:oMath>
        <m:r>
          <m:rPr/>
          <w:rPr>
            <w:rFonts w:ascii="Cambria Math" w:hAnsi="Cambria Math" w:eastAsiaTheme="minorEastAsia"/>
            <w:sz w:val="24"/>
            <w:szCs w:val="24"/>
          </w:rPr>
          <m:t>i</m:t>
        </m:r>
      </m:oMath>
      <w:r>
        <w:rPr>
          <w:rFonts w:hint="eastAsia" w:ascii="Times New Roman" w:eastAsiaTheme="minorEastAsia"/>
          <w:iCs/>
          <w:sz w:val="24"/>
          <w:szCs w:val="24"/>
        </w:rPr>
        <w:t>的投入比例；</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E</m:t>
            </m:r>
            <m:ctrlPr>
              <w:rPr>
                <w:rFonts w:ascii="Cambria Math" w:hAnsi="Cambria Math" w:eastAsiaTheme="minorEastAsia"/>
                <w:i/>
                <w:sz w:val="24"/>
                <w:szCs w:val="24"/>
              </w:rPr>
            </m:ctrlPr>
          </m:e>
          <m:sub>
            <m:r>
              <m:rPr/>
              <w:rPr>
                <w:rFonts w:ascii="Cambria Math" w:hAnsi="Cambria Math" w:eastAsiaTheme="minorEastAsia"/>
                <w:sz w:val="24"/>
                <w:szCs w:val="24"/>
              </w:rPr>
              <m:t>V,i</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全部由原生材料组成时，组成材料</w:t>
      </w:r>
      <m:oMath>
        <m:r>
          <m:rPr/>
          <w:rPr>
            <w:rFonts w:ascii="Cambria Math" w:hAnsi="Cambria Math" w:eastAsiaTheme="minorEastAsia"/>
            <w:sz w:val="24"/>
            <w:szCs w:val="24"/>
          </w:rPr>
          <m:t>i</m:t>
        </m:r>
      </m:oMath>
      <w:r>
        <w:rPr>
          <w:rFonts w:hint="eastAsia" w:ascii="Times New Roman" w:eastAsiaTheme="minorEastAsia"/>
          <w:sz w:val="24"/>
          <w:szCs w:val="24"/>
        </w:rPr>
        <w:t>的温室气体排放，单位为千克二氧化碳当量（kgCO</w:t>
      </w:r>
      <w:r>
        <w:rPr>
          <w:rFonts w:hint="eastAsia" w:ascii="Times New Roman" w:eastAsiaTheme="minorEastAsia"/>
          <w:sz w:val="24"/>
          <w:szCs w:val="24"/>
          <w:vertAlign w:val="subscript"/>
        </w:rPr>
        <w:t>2</w:t>
      </w:r>
      <w:r>
        <w:rPr>
          <w:rFonts w:hint="eastAsia" w:ascii="Times New Roman" w:eastAsiaTheme="minorEastAsia"/>
          <w:sz w:val="24"/>
          <w:szCs w:val="24"/>
        </w:rPr>
        <w:t>e）；</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R,i</m:t>
            </m:r>
            <m:ctrlPr>
              <w:rPr>
                <w:rFonts w:ascii="Cambria Math" w:hAnsi="Cambria Math" w:eastAsiaTheme="minorEastAsia"/>
                <w:i/>
                <w:iCs/>
                <w:sz w:val="24"/>
                <w:szCs w:val="24"/>
              </w:rPr>
            </m:ctrlPr>
          </m:sub>
        </m:sSub>
      </m:oMath>
      <w:r>
        <w:rPr>
          <w:rFonts w:ascii="Times New Roman" w:eastAsiaTheme="minorEastAsia"/>
          <w:sz w:val="24"/>
          <w:szCs w:val="24"/>
        </w:rPr>
        <w:t>——</w:t>
      </w:r>
      <w:r>
        <w:rPr>
          <w:rFonts w:hint="eastAsia" w:ascii="Times New Roman" w:eastAsiaTheme="minorEastAsia"/>
          <w:sz w:val="24"/>
          <w:szCs w:val="24"/>
        </w:rPr>
        <w:t>全部由再循环材料组成时，组成材料</w:t>
      </w:r>
      <m:oMath>
        <m:r>
          <m:rPr/>
          <w:rPr>
            <w:rFonts w:ascii="Cambria Math" w:hAnsi="Cambria Math" w:eastAsiaTheme="minorEastAsia"/>
            <w:sz w:val="24"/>
            <w:szCs w:val="24"/>
          </w:rPr>
          <m:t>i</m:t>
        </m:r>
      </m:oMath>
      <w:r>
        <w:rPr>
          <w:rFonts w:hint="eastAsia" w:ascii="Times New Roman" w:eastAsiaTheme="minorEastAsia"/>
          <w:sz w:val="24"/>
          <w:szCs w:val="24"/>
        </w:rPr>
        <w:t>的温室气体排放，单位为千克二氧化碳当量（kgCO</w:t>
      </w:r>
      <w:r>
        <w:rPr>
          <w:rFonts w:hint="eastAsia" w:ascii="Times New Roman" w:eastAsiaTheme="minorEastAsia"/>
          <w:sz w:val="24"/>
          <w:szCs w:val="24"/>
          <w:vertAlign w:val="subscript"/>
        </w:rPr>
        <w:t>2</w:t>
      </w:r>
      <w:r>
        <w:rPr>
          <w:rFonts w:hint="eastAsia" w:ascii="Times New Roman" w:eastAsiaTheme="minorEastAsia"/>
          <w:sz w:val="24"/>
          <w:szCs w:val="24"/>
        </w:rPr>
        <w:t>e）</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原材料运输阶段碳排放包括各种原材料从原材料生产厂到</w:t>
      </w:r>
      <w:r>
        <w:rPr>
          <w:rFonts w:ascii="Times New Roman" w:eastAsiaTheme="minorEastAsia"/>
          <w:sz w:val="24"/>
          <w:szCs w:val="24"/>
        </w:rPr>
        <w:t>雪地轮胎产品</w:t>
      </w:r>
      <w:r>
        <w:rPr>
          <w:rFonts w:hint="eastAsia" w:ascii="Times New Roman" w:eastAsiaTheme="minorEastAsia"/>
          <w:sz w:val="24"/>
          <w:szCs w:val="24"/>
        </w:rPr>
        <w:t>生产厂的运输过程产生的碳排放，运输过程的温室气体排放量应按式（</w:t>
      </w:r>
      <w:r>
        <w:rPr>
          <w:rFonts w:ascii="Times New Roman" w:eastAsiaTheme="minorEastAsia"/>
          <w:sz w:val="24"/>
          <w:szCs w:val="24"/>
        </w:rPr>
        <w:t>3</w:t>
      </w:r>
      <w:r>
        <w:rPr>
          <w:rFonts w:hint="eastAsia" w:ascii="Times New Roman" w:eastAsiaTheme="minorEastAsia"/>
          <w:sz w:val="24"/>
          <w:szCs w:val="24"/>
        </w:rPr>
        <w:t>）进行计算：</w:t>
      </w:r>
    </w:p>
    <w:p>
      <w:pPr>
        <w:pStyle w:val="23"/>
        <w:spacing w:line="360" w:lineRule="auto"/>
        <w:ind w:firstLine="2040" w:firstLineChars="850"/>
        <w:rPr>
          <w:rFonts w:ascii="Times New Roman" w:eastAsiaTheme="minorEastAsia"/>
          <w:sz w:val="24"/>
          <w:szCs w:val="24"/>
        </w:rPr>
      </w:pPr>
      <m:oMath>
        <m:r>
          <m:rPr>
            <m:sty m:val="p"/>
          </m:rPr>
          <w:rPr>
            <w:rFonts w:ascii="Cambria Math" w:hAnsi="Cambria Math" w:eastAsiaTheme="minorEastAsia"/>
            <w:sz w:val="24"/>
            <w:szCs w:val="24"/>
          </w:rPr>
          <m:t xml:space="preserve">    </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运输</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nary>
          <m:naryPr>
            <m:chr m:val="∑"/>
            <m:limLoc m:val="undOvr"/>
            <m:subHide m:val="true"/>
            <m:supHide m:val="true"/>
            <m:ctrlPr>
              <w:rPr>
                <w:rFonts w:ascii="Cambria Math" w:hAnsi="Cambria Math" w:eastAsiaTheme="minorEastAsia"/>
                <w:sz w:val="24"/>
                <w:szCs w:val="24"/>
              </w:rPr>
            </m:ctrlPr>
          </m:naryPr>
          <m:sub>
            <m:ctrlPr>
              <w:rPr>
                <w:rFonts w:ascii="Cambria Math" w:hAnsi="Cambria Math" w:eastAsiaTheme="minorEastAsia"/>
                <w:sz w:val="24"/>
                <w:szCs w:val="24"/>
              </w:rPr>
            </m:ctrlPr>
          </m:sub>
          <m:sup>
            <m:ctrlPr>
              <w:rPr>
                <w:rFonts w:ascii="Cambria Math" w:hAnsi="Cambria Math" w:eastAsiaTheme="minorEastAsia"/>
                <w:sz w:val="24"/>
                <w:szCs w:val="24"/>
              </w:rPr>
            </m:ctrlPr>
          </m:sup>
          <m:e>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S</m:t>
                </m:r>
                <m:ctrlPr>
                  <w:rPr>
                    <w:rFonts w:ascii="Cambria Math" w:hAnsi="Cambria Math" w:eastAsiaTheme="minorEastAsia"/>
                    <w:i/>
                    <w:iCs/>
                    <w:sz w:val="24"/>
                    <w:szCs w:val="24"/>
                  </w:rPr>
                </m:ctrlPr>
              </m:e>
              <m:sub>
                <m:r>
                  <m:rPr/>
                  <w:rPr>
                    <w:rFonts w:ascii="Cambria Math" w:hAnsi="Cambria Math" w:eastAsiaTheme="minorEastAsia"/>
                    <w:sz w:val="24"/>
                    <w:szCs w:val="24"/>
                  </w:rPr>
                  <m:t>leg,i</m:t>
                </m:r>
                <m:ctrlPr>
                  <w:rPr>
                    <w:rFonts w:ascii="Cambria Math" w:hAnsi="Cambria Math" w:eastAsiaTheme="minorEastAsia"/>
                    <w:i/>
                    <w:iCs/>
                    <w:sz w:val="24"/>
                    <w:szCs w:val="24"/>
                  </w:rPr>
                </m:ctrlPr>
              </m:sub>
            </m:sSub>
            <m:r>
              <m:rPr>
                <m:sty m:val="p"/>
              </m:rPr>
              <w:rPr>
                <w:rFonts w:hint="eastAsia"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FC</m:t>
                </m:r>
                <m:ctrlPr>
                  <w:rPr>
                    <w:rFonts w:ascii="Cambria Math" w:hAnsi="Cambria Math" w:eastAsiaTheme="minorEastAsia"/>
                    <w:i/>
                    <w:iCs/>
                    <w:sz w:val="24"/>
                    <w:szCs w:val="24"/>
                  </w:rPr>
                </m:ctrlPr>
              </m:e>
              <m:sub>
                <m:r>
                  <m:rPr/>
                  <w:rPr>
                    <w:rFonts w:ascii="Cambria Math" w:hAnsi="Cambria Math" w:eastAsiaTheme="minorEastAsia"/>
                    <w:sz w:val="24"/>
                    <w:szCs w:val="24"/>
                  </w:rPr>
                  <m:t>VOS,i</m:t>
                </m:r>
                <m:ctrlPr>
                  <w:rPr>
                    <w:rFonts w:ascii="Cambria Math" w:hAnsi="Cambria Math" w:eastAsiaTheme="minorEastAsia"/>
                    <w:i/>
                    <w:iCs/>
                    <w:sz w:val="24"/>
                    <w:szCs w:val="24"/>
                  </w:rPr>
                </m:ctrlPr>
              </m:sub>
            </m:sSub>
            <m:r>
              <m:rPr>
                <m:sty m:val="p"/>
              </m:rPr>
              <w:rPr>
                <w:rFonts w:hint="eastAsia" w:ascii="Cambria Math" w:hAnsi="Cambria Math" w:eastAsiaTheme="minorEastAsia"/>
                <w:sz w:val="24"/>
                <w:szCs w:val="24"/>
              </w:rPr>
              <m:t>×</m:t>
            </m:r>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ctrlPr>
              <w:rPr>
                <w:rFonts w:ascii="Cambria Math" w:hAnsi="Cambria Math" w:eastAsiaTheme="minorEastAsia"/>
                <w:sz w:val="24"/>
                <w:szCs w:val="24"/>
              </w:rPr>
            </m:ctrlPr>
          </m:e>
        </m:nary>
      </m:oMath>
      <w:r>
        <w:rPr>
          <w:rFonts w:hint="eastAsia" w:ascii="Times New Roman" w:eastAsiaTheme="minorEastAsia"/>
          <w:sz w:val="24"/>
          <w:szCs w:val="24"/>
        </w:rPr>
        <w:t xml:space="preserve">                  （</w:t>
      </w:r>
      <w:r>
        <w:rPr>
          <w:rFonts w:ascii="Times New Roman" w:eastAsiaTheme="minorEastAsia"/>
          <w:sz w:val="24"/>
          <w:szCs w:val="24"/>
        </w:rPr>
        <w:t>3</w:t>
      </w:r>
      <w:r>
        <w:rPr>
          <w:rFonts w:hint="eastAsia" w:ascii="Times New Roman" w:eastAsiaTheme="minorEastAsia"/>
          <w:sz w:val="24"/>
          <w:szCs w:val="24"/>
        </w:rPr>
        <w:t>）</w:t>
      </w:r>
    </w:p>
    <w:p>
      <w:pPr>
        <w:pStyle w:val="23"/>
        <w:spacing w:line="360" w:lineRule="auto"/>
        <w:ind w:firstLine="480"/>
        <w:jc w:val="left"/>
        <w:rPr>
          <w:rFonts w:ascii="Times New Roman" w:eastAsiaTheme="minorEastAsia"/>
          <w:sz w:val="24"/>
          <w:szCs w:val="24"/>
        </w:rPr>
      </w:pPr>
      <w:r>
        <w:rPr>
          <w:rFonts w:hint="eastAsia" w:ascii="Times New Roman" w:eastAsiaTheme="minorEastAsia"/>
          <w:sz w:val="24"/>
          <w:szCs w:val="24"/>
        </w:rPr>
        <w:t>式中：</w:t>
      </w:r>
    </w:p>
    <w:p>
      <w:pPr>
        <w:pStyle w:val="23"/>
        <w:spacing w:line="360" w:lineRule="auto"/>
        <w:ind w:firstLineChars="175"/>
        <w:rPr>
          <w:rFonts w:ascii="Times New Roman" w:eastAsiaTheme="minorEastAsia"/>
          <w:sz w:val="24"/>
          <w:szCs w:val="24"/>
        </w:rPr>
      </w:pPr>
      <w:r>
        <w:rPr>
          <w:rFonts w:hint="eastAsia" w:ascii="Times New Roman" w:eastAsiaTheme="minorEastAsia"/>
          <w:i/>
          <w:iCs/>
          <w:sz w:val="24"/>
          <w:szCs w:val="24"/>
        </w:rPr>
        <w:t>leg</w:t>
      </w:r>
      <w:r>
        <w:rPr>
          <w:rFonts w:ascii="Times New Roman" w:eastAsiaTheme="minorEastAsia"/>
          <w:sz w:val="24"/>
          <w:szCs w:val="24"/>
        </w:rPr>
        <w:t>——</w:t>
      </w:r>
      <w:r>
        <w:rPr>
          <w:rFonts w:hint="eastAsia" w:ascii="Times New Roman" w:eastAsiaTheme="minorEastAsia"/>
          <w:sz w:val="24"/>
          <w:szCs w:val="24"/>
        </w:rPr>
        <w:t>目标量化的运输过程（</w:t>
      </w:r>
      <w:r>
        <w:rPr>
          <w:rFonts w:hint="eastAsia" w:ascii="Times New Roman" w:eastAsiaTheme="minorEastAsia"/>
          <w:i/>
          <w:iCs/>
          <w:sz w:val="24"/>
          <w:szCs w:val="24"/>
        </w:rPr>
        <w:t>leg</w:t>
      </w:r>
      <w:r>
        <w:rPr>
          <w:rFonts w:hint="eastAsia" w:ascii="Times New Roman" w:eastAsiaTheme="minorEastAsia"/>
          <w:sz w:val="24"/>
          <w:szCs w:val="24"/>
        </w:rPr>
        <w:t>），指目标产品等被一种交通工具所运载行驶的距离，运输服务全程按换乘交通工具次数，拆分为</w:t>
      </w:r>
      <m:oMath>
        <m:r>
          <m:rPr/>
          <w:rPr>
            <w:rFonts w:ascii="Cambria Math" w:hAnsi="Cambria Math" w:eastAsiaTheme="minorEastAsia"/>
            <w:sz w:val="24"/>
            <w:szCs w:val="24"/>
          </w:rPr>
          <m:t>i</m:t>
        </m:r>
      </m:oMath>
      <w:r>
        <w:rPr>
          <w:rFonts w:hint="eastAsia" w:ascii="Times New Roman" w:eastAsiaTheme="minorEastAsia"/>
          <w:sz w:val="24"/>
          <w:szCs w:val="24"/>
        </w:rPr>
        <w:t>段；</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S</m:t>
            </m:r>
            <m:ctrlPr>
              <w:rPr>
                <w:rFonts w:ascii="Cambria Math" w:hAnsi="Cambria Math" w:eastAsiaTheme="minorEastAsia"/>
                <w:i/>
                <w:sz w:val="24"/>
                <w:szCs w:val="24"/>
              </w:rPr>
            </m:ctrlPr>
          </m:e>
          <m:sub>
            <m:r>
              <m:rPr/>
              <w:rPr>
                <w:rFonts w:ascii="Cambria Math" w:hAnsi="Cambria Math" w:eastAsiaTheme="minorEastAsia"/>
                <w:sz w:val="24"/>
                <w:szCs w:val="24"/>
              </w:rPr>
              <m:t>leg,i</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分配系数，目标量化的第</w:t>
      </w:r>
      <m:oMath>
        <m:r>
          <m:rPr/>
          <w:rPr>
            <w:rFonts w:ascii="Cambria Math" w:hAnsi="Cambria Math" w:eastAsiaTheme="minorEastAsia"/>
            <w:sz w:val="24"/>
            <w:szCs w:val="24"/>
          </w:rPr>
          <m:t>i</m:t>
        </m:r>
      </m:oMath>
      <w:r>
        <w:rPr>
          <w:rFonts w:hint="eastAsia" w:ascii="Times New Roman" w:eastAsiaTheme="minorEastAsia"/>
          <w:sz w:val="24"/>
          <w:szCs w:val="24"/>
        </w:rPr>
        <w:t>段运输过程（</w:t>
      </w:r>
      <w:r>
        <w:rPr>
          <w:rFonts w:hint="eastAsia" w:ascii="Times New Roman" w:eastAsiaTheme="minorEastAsia"/>
          <w:i/>
          <w:iCs/>
          <w:sz w:val="24"/>
          <w:szCs w:val="24"/>
        </w:rPr>
        <w:t>leg</w:t>
      </w:r>
      <w:r>
        <w:rPr>
          <w:rFonts w:hint="eastAsia" w:ascii="Times New Roman" w:eastAsiaTheme="minorEastAsia"/>
          <w:sz w:val="24"/>
          <w:szCs w:val="24"/>
        </w:rPr>
        <w:t>）温室气体排放占所选运输系统温室气体排放的比重；</w:t>
      </w:r>
    </w:p>
    <w:p>
      <w:pPr>
        <w:pStyle w:val="23"/>
        <w:spacing w:line="360" w:lineRule="auto"/>
        <w:ind w:firstLineChars="175"/>
        <w:rPr>
          <w:rFonts w:ascii="Times New Roman" w:eastAsiaTheme="minorEastAsia"/>
          <w:sz w:val="24"/>
          <w:szCs w:val="24"/>
        </w:rPr>
      </w:pPr>
      <w:r>
        <w:rPr>
          <w:rFonts w:hint="eastAsia" w:ascii="Times New Roman" w:eastAsiaTheme="minorEastAsia"/>
          <w:i/>
          <w:iCs/>
          <w:sz w:val="24"/>
          <w:szCs w:val="24"/>
        </w:rPr>
        <w:t>VOS</w:t>
      </w:r>
      <w:r>
        <w:rPr>
          <w:rFonts w:ascii="Times New Roman" w:eastAsiaTheme="minorEastAsia"/>
          <w:sz w:val="24"/>
          <w:szCs w:val="24"/>
        </w:rPr>
        <w:t>——</w:t>
      </w:r>
      <w:r>
        <w:rPr>
          <w:rFonts w:hint="eastAsia" w:ascii="Times New Roman" w:eastAsiaTheme="minorEastAsia"/>
          <w:sz w:val="24"/>
          <w:szCs w:val="24"/>
        </w:rPr>
        <w:t>运输系统（</w:t>
      </w:r>
      <w:r>
        <w:rPr>
          <w:rFonts w:hint="eastAsia" w:ascii="Times New Roman" w:eastAsiaTheme="minorEastAsia"/>
          <w:i/>
          <w:iCs/>
          <w:sz w:val="24"/>
          <w:szCs w:val="24"/>
        </w:rPr>
        <w:t>VOS</w:t>
      </w:r>
      <w:r>
        <w:rPr>
          <w:rFonts w:hint="eastAsia" w:ascii="Times New Roman" w:eastAsiaTheme="minorEastAsia"/>
          <w:sz w:val="24"/>
          <w:szCs w:val="24"/>
        </w:rPr>
        <w:t>）指针对每段运输过程（</w:t>
      </w:r>
      <w:r>
        <w:rPr>
          <w:rFonts w:hint="eastAsia" w:ascii="Times New Roman" w:eastAsiaTheme="minorEastAsia"/>
          <w:i/>
          <w:iCs/>
          <w:sz w:val="24"/>
          <w:szCs w:val="24"/>
        </w:rPr>
        <w:t>leg</w:t>
      </w:r>
      <w:r>
        <w:rPr>
          <w:rFonts w:hint="eastAsia" w:ascii="Times New Roman" w:eastAsiaTheme="minorEastAsia"/>
          <w:sz w:val="24"/>
          <w:szCs w:val="24"/>
        </w:rPr>
        <w:t>）所选取的具有连贯性的运输服务全程，应包含该交通工具在该系统中的空载部分。例如，一列火车往返于 A、B 两地，去程满载指定货物，返程空载，则运输过程（</w:t>
      </w:r>
      <w:r>
        <w:rPr>
          <w:rFonts w:hint="eastAsia" w:ascii="Times New Roman" w:eastAsiaTheme="minorEastAsia"/>
          <w:i/>
          <w:iCs/>
          <w:sz w:val="24"/>
          <w:szCs w:val="24"/>
        </w:rPr>
        <w:t>leg</w:t>
      </w:r>
      <w:r>
        <w:rPr>
          <w:rFonts w:hint="eastAsia" w:ascii="Times New Roman" w:eastAsiaTheme="minorEastAsia"/>
          <w:sz w:val="24"/>
          <w:szCs w:val="24"/>
        </w:rPr>
        <w:t>）为 A 到 B 的运输服务，运输系统（</w:t>
      </w:r>
      <w:r>
        <w:rPr>
          <w:rFonts w:hint="eastAsia" w:ascii="Times New Roman" w:eastAsiaTheme="minorEastAsia"/>
          <w:i/>
          <w:sz w:val="24"/>
          <w:szCs w:val="24"/>
        </w:rPr>
        <w:t>VOS</w:t>
      </w:r>
      <w:r>
        <w:rPr>
          <w:rFonts w:hint="eastAsia" w:ascii="Times New Roman" w:eastAsiaTheme="minorEastAsia"/>
          <w:sz w:val="24"/>
          <w:szCs w:val="24"/>
        </w:rPr>
        <w:t>）为往返 A、B 两地的运输服务；</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FC</m:t>
            </m:r>
            <m:ctrlPr>
              <w:rPr>
                <w:rFonts w:ascii="Cambria Math" w:hAnsi="Cambria Math" w:eastAsiaTheme="minorEastAsia"/>
                <w:i/>
                <w:sz w:val="24"/>
                <w:szCs w:val="24"/>
              </w:rPr>
            </m:ctrlPr>
          </m:e>
          <m:sub>
            <m:r>
              <m:rPr/>
              <w:rPr>
                <w:rFonts w:ascii="Cambria Math" w:hAnsi="Cambria Math" w:eastAsiaTheme="minorEastAsia"/>
                <w:sz w:val="24"/>
                <w:szCs w:val="24"/>
              </w:rPr>
              <m:t>VOS,i</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所选第</w:t>
      </w:r>
      <m:oMath>
        <m:r>
          <m:rPr/>
          <w:rPr>
            <w:rFonts w:ascii="Cambria Math" w:hAnsi="Cambria Math" w:eastAsiaTheme="minorEastAsia"/>
            <w:sz w:val="24"/>
            <w:szCs w:val="24"/>
          </w:rPr>
          <m:t>i</m:t>
        </m:r>
      </m:oMath>
      <w:r>
        <w:rPr>
          <w:rFonts w:hint="eastAsia" w:ascii="Times New Roman" w:eastAsiaTheme="minorEastAsia"/>
          <w:sz w:val="24"/>
          <w:szCs w:val="24"/>
        </w:rPr>
        <w:t>个运输系统（</w:t>
      </w:r>
      <w:r>
        <w:rPr>
          <w:rFonts w:hint="eastAsia" w:ascii="Times New Roman" w:eastAsiaTheme="minorEastAsia"/>
          <w:i/>
          <w:iCs/>
          <w:sz w:val="24"/>
          <w:szCs w:val="24"/>
        </w:rPr>
        <w:t>VOS</w:t>
      </w:r>
      <w:r>
        <w:rPr>
          <w:rFonts w:hint="eastAsia" w:ascii="Times New Roman" w:eastAsiaTheme="minorEastAsia"/>
          <w:sz w:val="24"/>
          <w:szCs w:val="24"/>
        </w:rPr>
        <w:t>）的燃料/电力消耗总量，单位为升（L）、立方米（m³）、千克（kg）或千瓦时（kWh）等；</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CEF</m:t>
            </m:r>
            <m:ctrlPr>
              <w:rPr>
                <w:rFonts w:ascii="Cambria Math" w:hAnsi="Cambria Math" w:eastAsiaTheme="minorEastAsia"/>
                <w:i/>
                <w:sz w:val="24"/>
                <w:szCs w:val="24"/>
              </w:rPr>
            </m:ctrlPr>
          </m:e>
          <m:sub>
            <m:r>
              <m:rPr/>
              <w:rPr>
                <w:rFonts w:ascii="Cambria Math" w:hAnsi="Cambria Math" w:eastAsiaTheme="minorEastAsia"/>
                <w:sz w:val="24"/>
                <w:szCs w:val="24"/>
              </w:rPr>
              <m:t>r</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能源或燃料</w:t>
      </w:r>
      <m:oMath>
        <m:r>
          <m:rPr/>
          <w:rPr>
            <w:rFonts w:ascii="Cambria Math" w:hAnsi="Cambria Math" w:eastAsiaTheme="minorEastAsia"/>
            <w:sz w:val="24"/>
            <w:szCs w:val="24"/>
          </w:rPr>
          <m:t>r</m:t>
        </m:r>
      </m:oMath>
      <w:r>
        <w:rPr>
          <w:rFonts w:hint="eastAsia" w:ascii="Times New Roman" w:eastAsiaTheme="minorEastAsia"/>
          <w:sz w:val="24"/>
          <w:szCs w:val="24"/>
        </w:rPr>
        <w:t>生产的温室气体排放因子，单位为千克二氧化碳当量每千瓦时（kgCO</w:t>
      </w:r>
      <w:r>
        <w:rPr>
          <w:rFonts w:hint="eastAsia" w:ascii="Times New Roman" w:eastAsiaTheme="minorEastAsia"/>
          <w:sz w:val="24"/>
          <w:szCs w:val="24"/>
          <w:vertAlign w:val="subscript"/>
        </w:rPr>
        <w:t>2</w:t>
      </w:r>
      <w:r>
        <w:rPr>
          <w:rFonts w:hint="eastAsia" w:ascii="Times New Roman" w:eastAsiaTheme="minorEastAsia"/>
          <w:sz w:val="24"/>
          <w:szCs w:val="24"/>
        </w:rPr>
        <w:t>e/kWh）、千克二氧化碳当量每立方米（kgCO</w:t>
      </w:r>
      <w:r>
        <w:rPr>
          <w:rFonts w:hint="eastAsia" w:ascii="Times New Roman" w:eastAsiaTheme="minorEastAsia"/>
          <w:sz w:val="24"/>
          <w:szCs w:val="24"/>
          <w:vertAlign w:val="subscript"/>
        </w:rPr>
        <w:t>2</w:t>
      </w:r>
      <w:r>
        <w:rPr>
          <w:rFonts w:hint="eastAsia" w:ascii="Times New Roman" w:eastAsiaTheme="minorEastAsia"/>
          <w:sz w:val="24"/>
          <w:szCs w:val="24"/>
        </w:rPr>
        <w:t>e/m</w:t>
      </w:r>
      <w:r>
        <w:rPr>
          <w:rFonts w:hint="eastAsia" w:ascii="Times New Roman" w:eastAsiaTheme="minorEastAsia"/>
          <w:sz w:val="24"/>
          <w:szCs w:val="24"/>
          <w:vertAlign w:val="superscript"/>
        </w:rPr>
        <w:t>3</w:t>
      </w:r>
      <w:r>
        <w:rPr>
          <w:rFonts w:hint="eastAsia" w:ascii="Times New Roman" w:eastAsiaTheme="minorEastAsia"/>
          <w:sz w:val="24"/>
          <w:szCs w:val="24"/>
        </w:rPr>
        <w:t>）或千克二氧化碳当量每千克（kgCO</w:t>
      </w:r>
      <w:r>
        <w:rPr>
          <w:rFonts w:hint="eastAsia" w:ascii="Times New Roman" w:eastAsiaTheme="minorEastAsia"/>
          <w:sz w:val="24"/>
          <w:szCs w:val="24"/>
          <w:vertAlign w:val="subscript"/>
        </w:rPr>
        <w:t>2</w:t>
      </w:r>
      <w:r>
        <w:rPr>
          <w:rFonts w:hint="eastAsia" w:ascii="Times New Roman" w:eastAsiaTheme="minorEastAsia"/>
          <w:sz w:val="24"/>
          <w:szCs w:val="24"/>
        </w:rPr>
        <w:t>e/kg）；</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CEF'</m:t>
            </m:r>
            <m:ctrlPr>
              <w:rPr>
                <w:rFonts w:ascii="Cambria Math" w:hAnsi="Cambria Math" w:eastAsiaTheme="minorEastAsia"/>
                <w:i/>
                <w:sz w:val="24"/>
                <w:szCs w:val="24"/>
              </w:rPr>
            </m:ctrlPr>
          </m:e>
          <m:sub>
            <m:r>
              <m:rPr/>
              <w:rPr>
                <w:rFonts w:ascii="Cambria Math" w:hAnsi="Cambria Math" w:eastAsiaTheme="minorEastAsia"/>
                <w:sz w:val="24"/>
                <w:szCs w:val="24"/>
              </w:rPr>
              <m:t>r</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能源或燃料</w:t>
      </w:r>
      <m:oMath>
        <m:r>
          <m:rPr/>
          <w:rPr>
            <w:rFonts w:ascii="Cambria Math" w:hAnsi="Cambria Math" w:eastAsiaTheme="minorEastAsia"/>
            <w:sz w:val="24"/>
            <w:szCs w:val="24"/>
          </w:rPr>
          <m:t>r</m:t>
        </m:r>
      </m:oMath>
      <w:r>
        <w:rPr>
          <w:rFonts w:hint="eastAsia" w:ascii="Times New Roman" w:eastAsiaTheme="minorEastAsia"/>
          <w:sz w:val="24"/>
          <w:szCs w:val="24"/>
        </w:rPr>
        <w:t>使用的温室气体排放因子，单位为千克二氧化碳当量每千瓦时（kgCO</w:t>
      </w:r>
      <w:r>
        <w:rPr>
          <w:rFonts w:hint="eastAsia" w:ascii="Times New Roman" w:eastAsiaTheme="minorEastAsia"/>
          <w:sz w:val="24"/>
          <w:szCs w:val="24"/>
          <w:vertAlign w:val="subscript"/>
        </w:rPr>
        <w:t>2</w:t>
      </w:r>
      <w:r>
        <w:rPr>
          <w:rFonts w:hint="eastAsia" w:ascii="Times New Roman" w:eastAsiaTheme="minorEastAsia"/>
          <w:sz w:val="24"/>
          <w:szCs w:val="24"/>
        </w:rPr>
        <w:t>e/kWh）、千克二氧化碳当量每立方米（kgCO</w:t>
      </w:r>
      <w:r>
        <w:rPr>
          <w:rFonts w:hint="eastAsia" w:ascii="Times New Roman" w:eastAsiaTheme="minorEastAsia"/>
          <w:sz w:val="24"/>
          <w:szCs w:val="24"/>
          <w:vertAlign w:val="subscript"/>
        </w:rPr>
        <w:t>2</w:t>
      </w:r>
      <w:r>
        <w:rPr>
          <w:rFonts w:hint="eastAsia" w:ascii="Times New Roman" w:eastAsiaTheme="minorEastAsia"/>
          <w:sz w:val="24"/>
          <w:szCs w:val="24"/>
        </w:rPr>
        <w:t>e/m</w:t>
      </w:r>
      <w:r>
        <w:rPr>
          <w:rFonts w:hint="eastAsia" w:ascii="Times New Roman" w:eastAsiaTheme="minorEastAsia"/>
          <w:sz w:val="24"/>
          <w:szCs w:val="24"/>
          <w:vertAlign w:val="superscript"/>
        </w:rPr>
        <w:t>3</w:t>
      </w:r>
      <w:r>
        <w:rPr>
          <w:rFonts w:hint="eastAsia" w:ascii="Times New Roman" w:eastAsiaTheme="minorEastAsia"/>
          <w:sz w:val="24"/>
          <w:szCs w:val="24"/>
        </w:rPr>
        <w:t>）或千克二氧化碳当量每千克（kgCO</w:t>
      </w:r>
      <w:r>
        <w:rPr>
          <w:rFonts w:hint="eastAsia" w:ascii="Times New Roman" w:eastAsiaTheme="minorEastAsia"/>
          <w:sz w:val="24"/>
          <w:szCs w:val="24"/>
          <w:vertAlign w:val="subscript"/>
        </w:rPr>
        <w:t>2</w:t>
      </w:r>
      <w:r>
        <w:rPr>
          <w:rFonts w:hint="eastAsia" w:ascii="Times New Roman" w:eastAsiaTheme="minorEastAsia"/>
          <w:sz w:val="24"/>
          <w:szCs w:val="24"/>
        </w:rPr>
        <w:t>e/kg）。</w:t>
      </w:r>
    </w:p>
    <w:p>
      <w:pPr>
        <w:pStyle w:val="23"/>
        <w:numPr>
          <w:ilvl w:val="2"/>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生产阶段碳足迹</w:t>
      </w:r>
    </w:p>
    <w:p>
      <w:pPr>
        <w:pStyle w:val="23"/>
        <w:spacing w:line="360" w:lineRule="auto"/>
        <w:ind w:left="420" w:firstLine="0"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生产阶段碳足迹应按式（</w:t>
      </w:r>
      <w:r>
        <w:rPr>
          <w:rFonts w:ascii="Times New Roman" w:eastAsiaTheme="minorEastAsia"/>
          <w:sz w:val="24"/>
          <w:szCs w:val="24"/>
        </w:rPr>
        <w:t>4</w:t>
      </w:r>
      <w:r>
        <w:rPr>
          <w:rFonts w:hint="eastAsia" w:ascii="Times New Roman" w:eastAsiaTheme="minorEastAsia"/>
          <w:sz w:val="24"/>
          <w:szCs w:val="24"/>
        </w:rPr>
        <w:t>）进行计算：</w:t>
      </w:r>
    </w:p>
    <w:p>
      <w:pPr>
        <w:pStyle w:val="23"/>
        <w:spacing w:line="360" w:lineRule="auto"/>
        <w:ind w:firstLine="2400" w:firstLineChars="1000"/>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生产</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nary>
          <m:naryPr>
            <m:chr m:val="∑"/>
            <m:limLoc m:val="undOvr"/>
            <m:subHide m:val="true"/>
            <m:supHide m:val="true"/>
            <m:ctrlPr>
              <w:rPr>
                <w:rFonts w:ascii="Cambria Math" w:hAnsi="Cambria Math" w:eastAsiaTheme="minorEastAsia"/>
                <w:sz w:val="24"/>
                <w:szCs w:val="24"/>
              </w:rPr>
            </m:ctrlPr>
          </m:naryPr>
          <m:sub>
            <m:ctrlPr>
              <w:rPr>
                <w:rFonts w:ascii="Cambria Math" w:hAnsi="Cambria Math" w:eastAsiaTheme="minorEastAsia"/>
                <w:sz w:val="24"/>
                <w:szCs w:val="24"/>
              </w:rPr>
            </m:ctrlPr>
          </m:sub>
          <m:sup>
            <m:ctrlPr>
              <w:rPr>
                <w:rFonts w:ascii="Cambria Math" w:hAnsi="Cambria Math" w:eastAsiaTheme="minorEastAsia"/>
                <w:sz w:val="24"/>
                <w:szCs w:val="24"/>
              </w:rPr>
            </m:ctrlPr>
          </m:sup>
          <m:e>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r>
              <m:rPr/>
              <w:rPr>
                <w:rFonts w:hint="eastAsia"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r>
              <m:rPr/>
              <w:rPr>
                <w:rFonts w:hint="eastAsia"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CE</m:t>
                </m:r>
                <m:ctrlPr>
                  <w:rPr>
                    <w:rFonts w:ascii="Cambria Math" w:hAnsi="Cambria Math" w:eastAsiaTheme="minorEastAsia"/>
                    <w:i/>
                    <w:iCs/>
                    <w:sz w:val="24"/>
                    <w:szCs w:val="24"/>
                  </w:rPr>
                </m:ctrlPr>
              </m:e>
              <m:sub>
                <m:r>
                  <m:rPr/>
                  <w:rPr>
                    <w:rFonts w:ascii="Cambria Math" w:hAnsi="Cambria Math" w:eastAsiaTheme="minorEastAsia"/>
                    <w:sz w:val="24"/>
                    <w:szCs w:val="24"/>
                  </w:rPr>
                  <m:t>otℎer</m:t>
                </m:r>
                <m:ctrlPr>
                  <w:rPr>
                    <w:rFonts w:ascii="Cambria Math" w:hAnsi="Cambria Math" w:eastAsiaTheme="minorEastAsia"/>
                    <w:i/>
                    <w:iCs/>
                    <w:sz w:val="24"/>
                    <w:szCs w:val="24"/>
                  </w:rPr>
                </m:ctrlPr>
              </m:sub>
            </m:sSub>
            <m:ctrlPr>
              <w:rPr>
                <w:rFonts w:ascii="Cambria Math" w:hAnsi="Cambria Math" w:eastAsiaTheme="minorEastAsia"/>
                <w:sz w:val="24"/>
                <w:szCs w:val="24"/>
              </w:rPr>
            </m:ctrlPr>
          </m:e>
        </m:nary>
      </m:oMath>
      <w:r>
        <w:rPr>
          <w:rFonts w:hint="eastAsia" w:ascii="Times New Roman" w:eastAsiaTheme="minorEastAsia"/>
          <w:sz w:val="24"/>
          <w:szCs w:val="24"/>
        </w:rPr>
        <w:t xml:space="preserve">             </w:t>
      </w:r>
      <w:r>
        <w:rPr>
          <w:rFonts w:ascii="Times New Roman" w:eastAsiaTheme="minorEastAsia"/>
          <w:sz w:val="24"/>
          <w:szCs w:val="24"/>
        </w:rPr>
        <w:t>（4）</w:t>
      </w:r>
    </w:p>
    <w:p>
      <w:pPr>
        <w:pStyle w:val="23"/>
        <w:spacing w:line="360" w:lineRule="auto"/>
        <w:ind w:firstLine="480"/>
        <w:jc w:val="left"/>
        <w:rPr>
          <w:rFonts w:ascii="Times New Roman" w:eastAsiaTheme="minorEastAsia"/>
          <w:sz w:val="24"/>
          <w:szCs w:val="24"/>
        </w:rPr>
      </w:pPr>
      <w:r>
        <w:rPr>
          <w:rFonts w:hint="eastAsia" w:ascii="Times New Roman" w:eastAsiaTheme="minorEastAsia"/>
          <w:sz w:val="24"/>
          <w:szCs w:val="24"/>
        </w:rPr>
        <w:t>式中：</w:t>
      </w:r>
    </w:p>
    <w:p>
      <w:pPr>
        <w:pStyle w:val="23"/>
        <w:spacing w:line="360" w:lineRule="auto"/>
        <w:ind w:firstLine="480"/>
        <w:rPr>
          <w:rFonts w:ascii="Times New Roman" w:eastAsiaTheme="minorEastAsia"/>
          <w:iCs/>
          <w:sz w:val="24"/>
          <w:szCs w:val="24"/>
        </w:rPr>
      </w:pPr>
      <m:oMath>
        <m:sSub>
          <m:sSubPr>
            <m:ctrlPr>
              <w:rPr>
                <w:rFonts w:ascii="DejaVu Math TeX Gyre" w:hAnsi="DejaVu Math TeX Gyre" w:eastAsiaTheme="minorEastAsia"/>
                <w:i/>
                <w:sz w:val="24"/>
                <w:szCs w:val="24"/>
              </w:rPr>
            </m:ctrlPr>
          </m:sSubPr>
          <m:e>
            <m:r>
              <m:rPr/>
              <w:rPr>
                <w:rFonts w:ascii="Cambria Math" w:hAnsi="DejaVu Math TeX Gyre" w:eastAsiaTheme="minorEastAsia"/>
                <w:sz w:val="24"/>
                <w:szCs w:val="24"/>
              </w:rPr>
              <m:t>C</m:t>
            </m:r>
            <m:ctrlPr>
              <w:rPr>
                <w:rFonts w:ascii="DejaVu Math TeX Gyre" w:hAnsi="DejaVu Math TeX Gyre" w:eastAsiaTheme="minorEastAsia"/>
                <w:i/>
                <w:sz w:val="24"/>
                <w:szCs w:val="24"/>
              </w:rPr>
            </m:ctrlPr>
          </m:e>
          <m:sub>
            <m:r>
              <m:rPr>
                <m:sty m:val="p"/>
              </m:rPr>
              <w:rPr>
                <w:rFonts w:ascii="Cambria Math" w:hAnsi="Cambria Math" w:eastAsiaTheme="minorEastAsia"/>
                <w:sz w:val="24"/>
                <w:szCs w:val="24"/>
              </w:rPr>
              <m:t>生产</m:t>
            </m:r>
            <m:ctrlPr>
              <w:rPr>
                <w:rFonts w:ascii="DejaVu Math TeX Gyre" w:hAnsi="DejaVu Math TeX Gyre" w:eastAsiaTheme="minorEastAsia"/>
                <w:i/>
                <w:sz w:val="24"/>
                <w:szCs w:val="24"/>
              </w:rPr>
            </m:ctrlPr>
          </m:sub>
        </m:sSub>
      </m:oMath>
      <w:r>
        <w:rPr>
          <w:rFonts w:ascii="Times New Roman" w:eastAsiaTheme="minorEastAsia"/>
          <w:iCs/>
          <w:sz w:val="24"/>
          <w:szCs w:val="24"/>
        </w:rPr>
        <w:t>——</w:t>
      </w:r>
      <w:r>
        <w:rPr>
          <w:rFonts w:hint="eastAsia" w:ascii="Times New Roman" w:eastAsiaTheme="minorEastAsia"/>
          <w:iCs/>
          <w:sz w:val="24"/>
          <w:szCs w:val="24"/>
        </w:rPr>
        <w:t>生产阶段碳足迹，单位为千克二氧化碳当量（kgCO</w:t>
      </w:r>
      <w:r>
        <w:rPr>
          <w:rFonts w:hint="eastAsia" w:ascii="Times New Roman" w:eastAsiaTheme="minorEastAsia"/>
          <w:iCs/>
          <w:sz w:val="24"/>
          <w:szCs w:val="24"/>
          <w:vertAlign w:val="subscript"/>
        </w:rPr>
        <w:t>2</w:t>
      </w:r>
      <w:r>
        <w:rPr>
          <w:rFonts w:hint="eastAsia" w:ascii="Times New Roman" w:eastAsiaTheme="minorEastAsia"/>
          <w:iCs/>
          <w:sz w:val="24"/>
          <w:szCs w:val="24"/>
        </w:rPr>
        <w:t>e）；</w:t>
      </w:r>
    </w:p>
    <w:p>
      <w:pPr>
        <w:pStyle w:val="23"/>
        <w:spacing w:line="360" w:lineRule="auto"/>
        <w:ind w:firstLine="480"/>
        <w:rPr>
          <w:rFonts w:ascii="Times New Roman" w:eastAsiaTheme="minorEastAsia"/>
          <w:iCs/>
          <w:sz w:val="24"/>
          <w:szCs w:val="24"/>
        </w:rPr>
      </w:pPr>
      <m:oMath>
        <m:sSub>
          <m:sSubPr>
            <m:ctrlPr>
              <w:rPr>
                <w:rFonts w:ascii="DejaVu Math TeX Gyre" w:hAnsi="DejaVu Math TeX Gyre" w:eastAsiaTheme="minorEastAsia"/>
                <w:i/>
                <w:sz w:val="24"/>
                <w:szCs w:val="24"/>
              </w:rPr>
            </m:ctrlPr>
          </m:sSubPr>
          <m:e>
            <m:r>
              <m:rPr/>
              <w:rPr>
                <w:rFonts w:ascii="Cambria Math" w:hAnsi="DejaVu Math TeX Gyre" w:eastAsiaTheme="minorEastAsia"/>
                <w:sz w:val="24"/>
                <w:szCs w:val="24"/>
              </w:rPr>
              <m:t>E</m:t>
            </m:r>
            <m:ctrlPr>
              <w:rPr>
                <w:rFonts w:ascii="DejaVu Math TeX Gyre" w:hAnsi="DejaVu Math TeX Gyre" w:eastAsiaTheme="minorEastAsia"/>
                <w:i/>
                <w:sz w:val="24"/>
                <w:szCs w:val="24"/>
              </w:rPr>
            </m:ctrlPr>
          </m:e>
          <m:sub>
            <m:r>
              <m:rPr/>
              <w:rPr>
                <w:rFonts w:ascii="Cambria Math" w:hAnsi="DejaVu Math TeX Gyre" w:eastAsiaTheme="minorEastAsia"/>
                <w:sz w:val="24"/>
                <w:szCs w:val="24"/>
              </w:rPr>
              <m:t>r</m:t>
            </m:r>
            <m:ctrlPr>
              <w:rPr>
                <w:rFonts w:ascii="DejaVu Math TeX Gyre" w:hAnsi="DejaVu Math TeX Gyre" w:eastAsiaTheme="minorEastAsia"/>
                <w:i/>
                <w:sz w:val="24"/>
                <w:szCs w:val="24"/>
              </w:rPr>
            </m:ctrlPr>
          </m:sub>
        </m:sSub>
      </m:oMath>
      <w:r>
        <w:rPr>
          <w:rFonts w:ascii="Times New Roman" w:eastAsiaTheme="minorEastAsia"/>
          <w:iCs/>
          <w:sz w:val="24"/>
          <w:szCs w:val="24"/>
        </w:rPr>
        <w:t>——</w:t>
      </w:r>
      <w:r>
        <w:rPr>
          <w:rFonts w:hint="eastAsia" w:ascii="Times New Roman" w:eastAsiaTheme="minorEastAsia"/>
          <w:iCs/>
          <w:sz w:val="24"/>
          <w:szCs w:val="24"/>
        </w:rPr>
        <w:t>能源或燃料</w:t>
      </w:r>
      <m:oMath>
        <m:r>
          <m:rPr/>
          <w:rPr>
            <w:rFonts w:ascii="Cambria Math" w:hAnsi="Cambria Math" w:eastAsiaTheme="minorEastAsia"/>
            <w:sz w:val="24"/>
            <w:szCs w:val="24"/>
          </w:rPr>
          <m:t>r</m:t>
        </m:r>
      </m:oMath>
      <w:r>
        <w:rPr>
          <w:rFonts w:hint="eastAsia" w:ascii="Times New Roman" w:eastAsiaTheme="minorEastAsia"/>
          <w:iCs/>
          <w:sz w:val="24"/>
          <w:szCs w:val="24"/>
        </w:rPr>
        <w:t>的消耗量，单位为千瓦时（kWh）、立方米（m</w:t>
      </w:r>
      <w:r>
        <w:rPr>
          <w:rFonts w:hint="eastAsia" w:ascii="Times New Roman" w:eastAsiaTheme="minorEastAsia"/>
          <w:iCs/>
          <w:sz w:val="24"/>
          <w:szCs w:val="24"/>
          <w:vertAlign w:val="superscript"/>
        </w:rPr>
        <w:t>3</w:t>
      </w:r>
      <w:r>
        <w:rPr>
          <w:rFonts w:hint="eastAsia" w:ascii="Times New Roman" w:eastAsiaTheme="minorEastAsia"/>
          <w:iCs/>
          <w:sz w:val="24"/>
          <w:szCs w:val="24"/>
        </w:rPr>
        <w:t>）、吨（t）或千克（kg）等；</w:t>
      </w:r>
    </w:p>
    <w:p>
      <w:pPr>
        <w:pStyle w:val="23"/>
        <w:spacing w:line="360" w:lineRule="auto"/>
        <w:ind w:firstLine="480"/>
        <w:rPr>
          <w:rFonts w:ascii="Times New Roman" w:eastAsiaTheme="minorEastAsia"/>
          <w:iCs/>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oMath>
      <w:r>
        <w:rPr>
          <w:rFonts w:ascii="Times New Roman" w:eastAsiaTheme="minorEastAsia"/>
          <w:iCs/>
          <w:sz w:val="24"/>
          <w:szCs w:val="24"/>
        </w:rPr>
        <w:t>——</w:t>
      </w:r>
      <w:r>
        <w:rPr>
          <w:rFonts w:hint="eastAsia" w:ascii="Times New Roman" w:eastAsiaTheme="minorEastAsia"/>
          <w:iCs/>
          <w:sz w:val="24"/>
          <w:szCs w:val="24"/>
        </w:rPr>
        <w:t>能源或燃料</w:t>
      </w:r>
      <m:oMath>
        <m:r>
          <m:rPr/>
          <w:rPr>
            <w:rFonts w:ascii="Cambria Math" w:hAnsi="Cambria Math" w:eastAsiaTheme="minorEastAsia"/>
            <w:sz w:val="24"/>
            <w:szCs w:val="24"/>
          </w:rPr>
          <m:t>r</m:t>
        </m:r>
      </m:oMath>
      <w:r>
        <w:rPr>
          <w:rFonts w:hint="eastAsia" w:ascii="Times New Roman" w:eastAsiaTheme="minorEastAsia"/>
          <w:iCs/>
          <w:sz w:val="24"/>
          <w:szCs w:val="24"/>
        </w:rPr>
        <w:t>生产的温室气体排放因子，单位为千克二氧化碳当量每千瓦时（kgCO</w:t>
      </w:r>
      <w:r>
        <w:rPr>
          <w:rFonts w:hint="eastAsia" w:ascii="Times New Roman" w:eastAsiaTheme="minorEastAsia"/>
          <w:iCs/>
          <w:sz w:val="24"/>
          <w:szCs w:val="24"/>
          <w:vertAlign w:val="subscript"/>
        </w:rPr>
        <w:t>2</w:t>
      </w:r>
      <w:r>
        <w:rPr>
          <w:rFonts w:hint="eastAsia" w:ascii="Times New Roman" w:eastAsiaTheme="minorEastAsia"/>
          <w:iCs/>
          <w:sz w:val="24"/>
          <w:szCs w:val="24"/>
        </w:rPr>
        <w:t>e/kWh）、千克二氧化碳当量每立方米（kgCO</w:t>
      </w:r>
      <w:r>
        <w:rPr>
          <w:rFonts w:hint="eastAsia" w:ascii="Times New Roman" w:eastAsiaTheme="minorEastAsia"/>
          <w:iCs/>
          <w:sz w:val="24"/>
          <w:szCs w:val="24"/>
          <w:vertAlign w:val="subscript"/>
        </w:rPr>
        <w:t>2</w:t>
      </w:r>
      <w:r>
        <w:rPr>
          <w:rFonts w:hint="eastAsia" w:ascii="Times New Roman" w:eastAsiaTheme="minorEastAsia"/>
          <w:iCs/>
          <w:sz w:val="24"/>
          <w:szCs w:val="24"/>
        </w:rPr>
        <w:t>e/m</w:t>
      </w:r>
      <w:r>
        <w:rPr>
          <w:rFonts w:hint="eastAsia" w:ascii="Times New Roman" w:eastAsiaTheme="minorEastAsia"/>
          <w:iCs/>
          <w:sz w:val="24"/>
          <w:szCs w:val="24"/>
          <w:vertAlign w:val="superscript"/>
        </w:rPr>
        <w:t>3</w:t>
      </w:r>
      <w:r>
        <w:rPr>
          <w:rFonts w:hint="eastAsia" w:ascii="Times New Roman" w:eastAsiaTheme="minorEastAsia"/>
          <w:iCs/>
          <w:sz w:val="24"/>
          <w:szCs w:val="24"/>
        </w:rPr>
        <w:t>）或千克二氧化碳当量每千克（kgCO</w:t>
      </w:r>
      <w:r>
        <w:rPr>
          <w:rFonts w:hint="eastAsia" w:ascii="Times New Roman" w:eastAsiaTheme="minorEastAsia"/>
          <w:iCs/>
          <w:sz w:val="24"/>
          <w:szCs w:val="24"/>
          <w:vertAlign w:val="subscript"/>
        </w:rPr>
        <w:t>2</w:t>
      </w:r>
      <w:r>
        <w:rPr>
          <w:rFonts w:hint="eastAsia" w:ascii="Times New Roman" w:eastAsiaTheme="minorEastAsia"/>
          <w:iCs/>
          <w:sz w:val="24"/>
          <w:szCs w:val="24"/>
        </w:rPr>
        <w:t>e/kg）；</w:t>
      </w:r>
    </w:p>
    <w:p>
      <w:pPr>
        <w:pStyle w:val="23"/>
        <w:spacing w:line="360" w:lineRule="auto"/>
        <w:ind w:firstLine="480"/>
        <w:rPr>
          <w:rFonts w:ascii="Times New Roman" w:eastAsiaTheme="minorEastAsia"/>
          <w:iCs/>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oMath>
      <w:r>
        <w:rPr>
          <w:rFonts w:ascii="Times New Roman" w:eastAsiaTheme="minorEastAsia"/>
          <w:iCs/>
          <w:sz w:val="24"/>
          <w:szCs w:val="24"/>
        </w:rPr>
        <w:t>——</w:t>
      </w:r>
      <w:r>
        <w:rPr>
          <w:rFonts w:hint="eastAsia" w:ascii="Times New Roman" w:eastAsiaTheme="minorEastAsia"/>
          <w:iCs/>
          <w:sz w:val="24"/>
          <w:szCs w:val="24"/>
        </w:rPr>
        <w:t>能源或燃料</w:t>
      </w:r>
      <m:oMath>
        <m:r>
          <m:rPr/>
          <w:rPr>
            <w:rFonts w:ascii="Cambria Math" w:hAnsi="Cambria Math" w:eastAsiaTheme="minorEastAsia"/>
            <w:sz w:val="24"/>
            <w:szCs w:val="24"/>
          </w:rPr>
          <m:t>r</m:t>
        </m:r>
      </m:oMath>
      <w:r>
        <w:rPr>
          <w:rFonts w:hint="eastAsia" w:ascii="Times New Roman" w:eastAsiaTheme="minorEastAsia"/>
          <w:iCs/>
          <w:sz w:val="24"/>
          <w:szCs w:val="24"/>
        </w:rPr>
        <w:t>使用的温室气体排放因子，单位为千克二氧化碳当量每千瓦时（kgCO</w:t>
      </w:r>
      <w:r>
        <w:rPr>
          <w:rFonts w:hint="eastAsia" w:ascii="Times New Roman" w:eastAsiaTheme="minorEastAsia"/>
          <w:iCs/>
          <w:sz w:val="24"/>
          <w:szCs w:val="24"/>
          <w:vertAlign w:val="subscript"/>
        </w:rPr>
        <w:t>2</w:t>
      </w:r>
      <w:r>
        <w:rPr>
          <w:rFonts w:hint="eastAsia" w:ascii="Times New Roman" w:eastAsiaTheme="minorEastAsia"/>
          <w:iCs/>
          <w:sz w:val="24"/>
          <w:szCs w:val="24"/>
        </w:rPr>
        <w:t>e/kWh）、千克二氧化碳当量每立方米（kgCO</w:t>
      </w:r>
      <w:r>
        <w:rPr>
          <w:rFonts w:hint="eastAsia" w:ascii="Times New Roman" w:eastAsiaTheme="minorEastAsia"/>
          <w:iCs/>
          <w:sz w:val="24"/>
          <w:szCs w:val="24"/>
          <w:vertAlign w:val="subscript"/>
        </w:rPr>
        <w:t>2</w:t>
      </w:r>
      <w:r>
        <w:rPr>
          <w:rFonts w:hint="eastAsia" w:ascii="Times New Roman" w:eastAsiaTheme="minorEastAsia"/>
          <w:iCs/>
          <w:sz w:val="24"/>
          <w:szCs w:val="24"/>
        </w:rPr>
        <w:t>e/m</w:t>
      </w:r>
      <w:r>
        <w:rPr>
          <w:rFonts w:hint="eastAsia" w:ascii="Times New Roman" w:eastAsiaTheme="minorEastAsia"/>
          <w:iCs/>
          <w:sz w:val="24"/>
          <w:szCs w:val="24"/>
          <w:vertAlign w:val="superscript"/>
        </w:rPr>
        <w:t>3</w:t>
      </w:r>
      <w:r>
        <w:rPr>
          <w:rFonts w:hint="eastAsia" w:ascii="Times New Roman" w:eastAsiaTheme="minorEastAsia"/>
          <w:iCs/>
          <w:sz w:val="24"/>
          <w:szCs w:val="24"/>
        </w:rPr>
        <w:t>）或千克二氧化碳当量每千克（kgCO</w:t>
      </w:r>
      <w:r>
        <w:rPr>
          <w:rFonts w:hint="eastAsia" w:ascii="Times New Roman" w:eastAsiaTheme="minorEastAsia"/>
          <w:iCs/>
          <w:sz w:val="24"/>
          <w:szCs w:val="24"/>
          <w:vertAlign w:val="subscript"/>
        </w:rPr>
        <w:t>2</w:t>
      </w:r>
      <w:r>
        <w:rPr>
          <w:rFonts w:hint="eastAsia" w:ascii="Times New Roman" w:eastAsiaTheme="minorEastAsia"/>
          <w:iCs/>
          <w:sz w:val="24"/>
          <w:szCs w:val="24"/>
        </w:rPr>
        <w:t>e/kg）；</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CE</m:t>
            </m:r>
            <m:ctrlPr>
              <w:rPr>
                <w:rFonts w:ascii="Cambria Math" w:hAnsi="Cambria Math" w:eastAsiaTheme="minorEastAsia"/>
                <w:i/>
                <w:iCs/>
                <w:sz w:val="24"/>
                <w:szCs w:val="24"/>
              </w:rPr>
            </m:ctrlPr>
          </m:e>
          <m:sub>
            <m:r>
              <m:rPr/>
              <w:rPr>
                <w:rFonts w:ascii="Cambria Math" w:hAnsi="Cambria Math" w:eastAsiaTheme="minorEastAsia"/>
                <w:sz w:val="24"/>
                <w:szCs w:val="24"/>
              </w:rPr>
              <m:t>otℎer</m:t>
            </m:r>
            <m:ctrlPr>
              <w:rPr>
                <w:rFonts w:ascii="Cambria Math" w:hAnsi="Cambria Math" w:eastAsiaTheme="minorEastAsia"/>
                <w:i/>
                <w:iCs/>
                <w:sz w:val="24"/>
                <w:szCs w:val="24"/>
              </w:rPr>
            </m:ctrlPr>
          </m:sub>
        </m:sSub>
      </m:oMath>
      <w:r>
        <w:rPr>
          <w:rFonts w:ascii="Times New Roman" w:eastAsiaTheme="minorEastAsia"/>
          <w:iCs/>
          <w:sz w:val="24"/>
          <w:szCs w:val="24"/>
        </w:rPr>
        <w:t>——</w:t>
      </w:r>
      <w:r>
        <w:rPr>
          <w:rFonts w:hint="eastAsia" w:ascii="Times New Roman" w:eastAsiaTheme="minorEastAsia"/>
          <w:iCs/>
          <w:sz w:val="24"/>
          <w:szCs w:val="24"/>
        </w:rPr>
        <w:t>除能源使用外的生产过程直接温室气体排放，单位为千克二氧化碳当量（kgCO</w:t>
      </w:r>
      <w:r>
        <w:rPr>
          <w:rFonts w:hint="eastAsia" w:ascii="Times New Roman" w:eastAsiaTheme="minorEastAsia"/>
          <w:iCs/>
          <w:sz w:val="24"/>
          <w:szCs w:val="24"/>
          <w:vertAlign w:val="subscript"/>
        </w:rPr>
        <w:t>2</w:t>
      </w:r>
      <w:r>
        <w:rPr>
          <w:rFonts w:hint="eastAsia" w:ascii="Times New Roman" w:eastAsiaTheme="minorEastAsia"/>
          <w:iCs/>
          <w:sz w:val="24"/>
          <w:szCs w:val="24"/>
        </w:rPr>
        <w:t>e）</w:t>
      </w:r>
      <w:r>
        <w:rPr>
          <w:rFonts w:hint="eastAsia" w:ascii="Times New Roman" w:eastAsiaTheme="minorEastAsia"/>
          <w:sz w:val="24"/>
          <w:szCs w:val="24"/>
        </w:rPr>
        <w:t>。</w:t>
      </w:r>
    </w:p>
    <w:p>
      <w:pPr>
        <w:pStyle w:val="23"/>
        <w:spacing w:line="360" w:lineRule="auto"/>
        <w:ind w:firstLine="480"/>
        <w:rPr>
          <w:rFonts w:ascii="Times New Roman" w:eastAsiaTheme="minorEastAsia"/>
          <w:sz w:val="24"/>
          <w:szCs w:val="24"/>
        </w:rPr>
      </w:pPr>
    </w:p>
    <w:p>
      <w:pPr>
        <w:pStyle w:val="23"/>
        <w:numPr>
          <w:ilvl w:val="2"/>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分销阶段碳足迹</w:t>
      </w:r>
    </w:p>
    <w:p>
      <w:pPr>
        <w:pStyle w:val="23"/>
        <w:spacing w:line="360" w:lineRule="auto"/>
        <w:ind w:firstLine="48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分销阶段碳足迹</w:t>
      </w:r>
      <w:r>
        <w:rPr>
          <w:rFonts w:ascii="Times New Roman" w:eastAsiaTheme="minorEastAsia"/>
          <w:sz w:val="24"/>
          <w:szCs w:val="24"/>
        </w:rPr>
        <w:t>主要来自雪地轮胎产品运输交付过程，不宜考虑仓储过程碳足迹，可</w:t>
      </w:r>
      <w:r>
        <w:rPr>
          <w:rFonts w:hint="eastAsia" w:ascii="Times New Roman" w:eastAsiaTheme="minorEastAsia"/>
          <w:sz w:val="24"/>
          <w:szCs w:val="24"/>
        </w:rPr>
        <w:t>参考式（3）进行计算。</w:t>
      </w:r>
    </w:p>
    <w:p>
      <w:pPr>
        <w:pStyle w:val="23"/>
        <w:spacing w:line="360" w:lineRule="auto"/>
        <w:ind w:firstLine="480"/>
        <w:rPr>
          <w:rFonts w:ascii="Times New Roman" w:eastAsiaTheme="minorEastAsia"/>
          <w:sz w:val="24"/>
          <w:szCs w:val="24"/>
        </w:rPr>
      </w:pPr>
    </w:p>
    <w:p>
      <w:pPr>
        <w:pStyle w:val="23"/>
        <w:numPr>
          <w:ilvl w:val="2"/>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使用阶段碳足迹</w:t>
      </w:r>
    </w:p>
    <w:p>
      <w:pPr>
        <w:pStyle w:val="23"/>
        <w:numPr>
          <w:ilvl w:val="0"/>
          <w:numId w:val="4"/>
        </w:numPr>
        <w:spacing w:line="360" w:lineRule="auto"/>
        <w:ind w:firstLineChars="0"/>
        <w:rPr>
          <w:rFonts w:ascii="Times New Roman" w:eastAsiaTheme="minorEastAsia"/>
          <w:sz w:val="24"/>
          <w:szCs w:val="24"/>
        </w:rPr>
      </w:pPr>
      <w:r>
        <w:rPr>
          <w:rFonts w:hint="eastAsia" w:ascii="Times New Roman" w:eastAsiaTheme="minorEastAsia"/>
          <w:sz w:val="24"/>
          <w:szCs w:val="24"/>
        </w:rPr>
        <w:t>应用于纯电动汽车场景</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当</w:t>
      </w:r>
      <w:r>
        <w:rPr>
          <w:rFonts w:ascii="Times New Roman" w:eastAsiaTheme="minorEastAsia"/>
          <w:sz w:val="24"/>
          <w:szCs w:val="24"/>
        </w:rPr>
        <w:t>雪地轮胎产品</w:t>
      </w:r>
      <w:r>
        <w:rPr>
          <w:rFonts w:hint="eastAsia" w:ascii="Times New Roman" w:eastAsiaTheme="minorEastAsia"/>
          <w:sz w:val="24"/>
          <w:szCs w:val="24"/>
        </w:rPr>
        <w:t>应用于纯电动汽车时，应根据式（</w:t>
      </w:r>
      <w:r>
        <w:rPr>
          <w:rFonts w:ascii="Times New Roman" w:eastAsiaTheme="minorEastAsia"/>
          <w:sz w:val="24"/>
          <w:szCs w:val="24"/>
        </w:rPr>
        <w:t>5</w:t>
      </w:r>
      <w:r>
        <w:rPr>
          <w:rFonts w:hint="eastAsia" w:ascii="Times New Roman" w:eastAsiaTheme="minorEastAsia"/>
          <w:sz w:val="24"/>
          <w:szCs w:val="24"/>
        </w:rPr>
        <w:t>）计算由于</w:t>
      </w:r>
      <w:r>
        <w:rPr>
          <w:rFonts w:ascii="Times New Roman" w:eastAsiaTheme="minorEastAsia"/>
          <w:sz w:val="24"/>
          <w:szCs w:val="24"/>
        </w:rPr>
        <w:t>雪地轮胎产品</w:t>
      </w:r>
      <w:r>
        <w:rPr>
          <w:rFonts w:hint="eastAsia" w:ascii="Times New Roman" w:eastAsiaTheme="minorEastAsia"/>
          <w:sz w:val="24"/>
          <w:szCs w:val="24"/>
        </w:rPr>
        <w:t>使用产生的能量消耗带来的温室气体排放：</w:t>
      </w:r>
    </w:p>
    <w:p>
      <w:pPr>
        <w:pStyle w:val="23"/>
        <w:spacing w:line="360" w:lineRule="auto"/>
        <w:ind w:firstLine="1920" w:firstLineChars="800"/>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使用</m:t>
            </m:r>
            <m:ctrlPr>
              <w:rPr>
                <w:rFonts w:ascii="Cambria Math" w:hAnsi="Cambria Math" w:eastAsiaTheme="minorEastAsia"/>
                <w:i/>
                <w:iCs/>
                <w:sz w:val="24"/>
                <w:szCs w:val="24"/>
              </w:rPr>
            </m:ctrlPr>
          </m:sub>
        </m:sSub>
        <m:r>
          <m:rPr>
            <m:sty m:val="p"/>
          </m:rPr>
          <w:rPr>
            <w:rFonts w:ascii="Times New Roman" w:eastAsiaTheme="minorEastAsia"/>
            <w:sz w:val="24"/>
            <w:szCs w:val="24"/>
          </w:rPr>
          <m:t>=</m:t>
        </m:r>
        <m:r>
          <m:rPr>
            <m:sty m:val="p"/>
          </m:rPr>
          <w:rPr>
            <w:rFonts w:hint="eastAsia" w:ascii="Times New Roman" w:eastAsiaTheme="minorEastAsia"/>
            <w:sz w:val="24"/>
            <w:szCs w:val="24"/>
          </w:rPr>
          <m:t>（</m:t>
        </m:r>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RR</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AR</m:t>
            </m:r>
            <m:ctrlPr>
              <w:rPr>
                <w:rFonts w:ascii="Cambria Math" w:hAnsi="Cambria Math" w:eastAsiaTheme="minorEastAsia"/>
                <w:i/>
                <w:iCs/>
                <w:sz w:val="24"/>
                <w:szCs w:val="24"/>
              </w:rPr>
            </m:ctrlPr>
          </m:sub>
        </m:sSub>
        <m:r>
          <m:rPr>
            <m:sty m:val="p"/>
          </m:rPr>
          <w:rPr>
            <w:rFonts w:hint="eastAsia" w:ascii="Times New Roman" w:eastAsiaTheme="minorEastAsia"/>
            <w:sz w:val="24"/>
            <w:szCs w:val="24"/>
          </w:rPr>
          <m:t>）×</m:t>
        </m:r>
        <m:r>
          <m:rPr/>
          <w:rPr>
            <w:rFonts w:ascii="Times New Roman" w:eastAsiaTheme="minorEastAsia"/>
            <w:sz w:val="24"/>
            <w:szCs w:val="24"/>
          </w:rPr>
          <m:t xml:space="preserve"> </m:t>
        </m:r>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EF</m:t>
            </m:r>
            <m:ctrlPr>
              <w:rPr>
                <w:rFonts w:ascii="Cambria Math" w:hAnsi="Cambria Math" w:eastAsiaTheme="minorEastAsia"/>
                <w:i/>
                <w:iCs/>
                <w:sz w:val="24"/>
                <w:szCs w:val="24"/>
              </w:rPr>
            </m:ctrlPr>
          </m:e>
          <m:sub>
            <m:r>
              <m:rPr/>
              <w:rPr>
                <w:rFonts w:ascii="Cambria Math" w:hAnsi="Cambria Math" w:eastAsiaTheme="minorEastAsia"/>
                <w:sz w:val="24"/>
                <w:szCs w:val="24"/>
              </w:rPr>
              <m:t>Electricity</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/3.6+</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换胎</m:t>
            </m:r>
            <m:ctrlPr>
              <w:rPr>
                <w:rFonts w:ascii="Cambria Math" w:hAnsi="Cambria Math" w:eastAsiaTheme="minorEastAsia"/>
                <w:i/>
                <w:iCs/>
                <w:sz w:val="24"/>
                <w:szCs w:val="24"/>
              </w:rPr>
            </m:ctrlPr>
          </m:sub>
        </m:sSub>
      </m:oMath>
      <w:r>
        <w:rPr>
          <w:rFonts w:hint="eastAsia" w:hAnsi="Cambria Math" w:eastAsiaTheme="minorEastAsia"/>
          <w:sz w:val="24"/>
          <w:szCs w:val="24"/>
        </w:rPr>
        <w:t xml:space="preserve">   </w:t>
      </w:r>
      <w:r>
        <w:rPr>
          <w:rFonts w:hint="eastAsia" w:ascii="Times New Roman" w:eastAsiaTheme="minorEastAsia"/>
          <w:sz w:val="24"/>
          <w:szCs w:val="24"/>
        </w:rPr>
        <w:t xml:space="preserve">             </w:t>
      </w:r>
      <w:r>
        <w:rPr>
          <w:rFonts w:ascii="Times New Roman" w:eastAsiaTheme="minorEastAsia"/>
          <w:sz w:val="24"/>
          <w:szCs w:val="24"/>
        </w:rPr>
        <w:t>（5）</w:t>
      </w:r>
    </w:p>
    <w:p>
      <w:pPr>
        <w:pStyle w:val="23"/>
        <w:spacing w:line="360" w:lineRule="auto"/>
        <w:ind w:firstLine="480"/>
        <w:rPr>
          <w:rFonts w:ascii="Times New Roman" w:eastAsiaTheme="minorEastAsia"/>
          <w:sz w:val="24"/>
          <w:szCs w:val="24"/>
        </w:rPr>
      </w:pPr>
      <w:r>
        <w:rPr>
          <w:rFonts w:ascii="Times New Roman" w:eastAsiaTheme="minorEastAsia"/>
          <w:sz w:val="24"/>
          <w:szCs w:val="24"/>
        </w:rPr>
        <w:t>式中：</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使用</m:t>
            </m:r>
            <m:ctrlPr>
              <w:rPr>
                <w:rFonts w:ascii="Cambria Math" w:hAnsi="Cambria Math" w:eastAsiaTheme="minorEastAsia"/>
                <w:i/>
                <w:iCs/>
                <w:sz w:val="24"/>
                <w:szCs w:val="24"/>
              </w:rPr>
            </m:ctrlPr>
          </m:sub>
        </m:sSub>
      </m:oMath>
      <w:r>
        <w:rPr>
          <w:rFonts w:ascii="Times New Roman" w:eastAsiaTheme="minorEastAsia"/>
          <w:sz w:val="24"/>
          <w:szCs w:val="24"/>
        </w:rPr>
        <w:t>——纯电动汽车雪地轮胎产品使用阶段温室气体排放量，单位为千克二氧化碳当量（kgCO</w:t>
      </w:r>
      <w:r>
        <w:rPr>
          <w:rFonts w:ascii="Times New Roman" w:eastAsiaTheme="minorEastAsia"/>
          <w:sz w:val="24"/>
          <w:szCs w:val="24"/>
          <w:vertAlign w:val="subscript"/>
        </w:rPr>
        <w:t>2</w:t>
      </w:r>
      <w:r>
        <w:rPr>
          <w:rFonts w:ascii="Times New Roman" w:eastAsiaTheme="minorEastAsia"/>
          <w:sz w:val="24"/>
          <w:szCs w:val="24"/>
        </w:rPr>
        <w:t>e）；</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换胎</m:t>
            </m:r>
            <m:ctrlPr>
              <w:rPr>
                <w:rFonts w:ascii="Cambria Math" w:hAnsi="Cambria Math" w:eastAsiaTheme="minorEastAsia"/>
                <w:i/>
                <w:iCs/>
                <w:sz w:val="24"/>
                <w:szCs w:val="24"/>
              </w:rPr>
            </m:ctrlPr>
          </m:sub>
        </m:sSub>
      </m:oMath>
      <w:r>
        <w:rPr>
          <w:rFonts w:ascii="Times New Roman" w:eastAsiaTheme="minorEastAsia"/>
          <w:sz w:val="24"/>
          <w:szCs w:val="24"/>
        </w:rPr>
        <w:t>——由</w:t>
      </w:r>
      <w:r>
        <w:rPr>
          <w:rFonts w:hint="eastAsia" w:ascii="Times New Roman" w:eastAsiaTheme="minorEastAsia"/>
          <w:sz w:val="24"/>
          <w:szCs w:val="24"/>
        </w:rPr>
        <w:t>换胎工作</w:t>
      </w:r>
      <w:r>
        <w:rPr>
          <w:rFonts w:ascii="Times New Roman" w:eastAsiaTheme="minorEastAsia"/>
          <w:sz w:val="24"/>
          <w:szCs w:val="24"/>
        </w:rPr>
        <w:t>造成的能量消耗，一般考虑扒胎机、动平衡及压缩空气使用过程产生的碳足迹，宜采用实际数据，单位为千克二氧化碳当量（kgCO</w:t>
      </w:r>
      <w:r>
        <w:rPr>
          <w:rFonts w:ascii="Times New Roman" w:eastAsiaTheme="minorEastAsia"/>
          <w:sz w:val="24"/>
          <w:szCs w:val="24"/>
          <w:vertAlign w:val="subscript"/>
        </w:rPr>
        <w:t>2</w:t>
      </w:r>
      <w:r>
        <w:rPr>
          <w:rFonts w:ascii="Times New Roman" w:eastAsiaTheme="minorEastAsia"/>
          <w:sz w:val="24"/>
          <w:szCs w:val="24"/>
        </w:rPr>
        <w:t>e）</w:t>
      </w:r>
      <w:r>
        <w:rPr>
          <w:rFonts w:hint="eastAsia" w:ascii="Times New Roman" w:eastAsiaTheme="minorEastAsia"/>
          <w:sz w:val="24"/>
          <w:szCs w:val="24"/>
        </w:rPr>
        <w:t>；</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RR</m:t>
            </m:r>
            <m:ctrlPr>
              <w:rPr>
                <w:rFonts w:ascii="Cambria Math" w:hAnsi="Cambria Math" w:eastAsiaTheme="minorEastAsia"/>
                <w:i/>
                <w:iCs/>
                <w:sz w:val="24"/>
                <w:szCs w:val="24"/>
              </w:rPr>
            </m:ctrlPr>
          </m:sub>
        </m:sSub>
      </m:oMath>
      <w:r>
        <w:rPr>
          <w:rFonts w:ascii="Times New Roman" w:eastAsiaTheme="minorEastAsia"/>
          <w:sz w:val="24"/>
          <w:szCs w:val="24"/>
        </w:rPr>
        <w:t>——由滚动阻力（RR）造成的能量消耗，单位为兆焦（MJ）；</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AR</m:t>
            </m:r>
            <m:ctrlPr>
              <w:rPr>
                <w:rFonts w:ascii="Cambria Math" w:hAnsi="Cambria Math" w:eastAsiaTheme="minorEastAsia"/>
                <w:i/>
                <w:iCs/>
                <w:sz w:val="24"/>
                <w:szCs w:val="24"/>
              </w:rPr>
            </m:ctrlPr>
          </m:sub>
        </m:sSub>
      </m:oMath>
      <w:r>
        <w:rPr>
          <w:rFonts w:ascii="Times New Roman" w:eastAsiaTheme="minorEastAsia"/>
          <w:sz w:val="24"/>
          <w:szCs w:val="24"/>
        </w:rPr>
        <w:t>——由加速阻力（AR）造成的能量消耗，单位为兆焦（MJ）；</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EF</m:t>
            </m:r>
            <m:ctrlPr>
              <w:rPr>
                <w:rFonts w:ascii="Cambria Math" w:hAnsi="Cambria Math" w:eastAsiaTheme="minorEastAsia"/>
                <w:i/>
                <w:iCs/>
                <w:sz w:val="24"/>
                <w:szCs w:val="24"/>
              </w:rPr>
            </m:ctrlPr>
          </m:e>
          <m:sub>
            <m:r>
              <m:rPr/>
              <w:rPr>
                <w:rFonts w:ascii="Cambria Math" w:hAnsi="Cambria Math" w:eastAsiaTheme="minorEastAsia"/>
                <w:sz w:val="24"/>
                <w:szCs w:val="24"/>
              </w:rPr>
              <m:t>Electricity</m:t>
            </m:r>
            <m:ctrlPr>
              <w:rPr>
                <w:rFonts w:ascii="Cambria Math" w:hAnsi="Cambria Math" w:eastAsiaTheme="minorEastAsia"/>
                <w:i/>
                <w:iCs/>
                <w:sz w:val="24"/>
                <w:szCs w:val="24"/>
              </w:rPr>
            </m:ctrlPr>
          </m:sub>
        </m:sSub>
      </m:oMath>
      <w:r>
        <w:rPr>
          <w:rFonts w:ascii="Times New Roman" w:eastAsiaTheme="minorEastAsia"/>
          <w:sz w:val="24"/>
          <w:szCs w:val="24"/>
        </w:rPr>
        <w:t>——电力生产的温室气体排放因子，单位为千克二氧化碳当量每千瓦时（kgCO</w:t>
      </w:r>
      <w:r>
        <w:rPr>
          <w:rFonts w:ascii="Times New Roman" w:eastAsiaTheme="minorEastAsia"/>
          <w:sz w:val="24"/>
          <w:szCs w:val="24"/>
          <w:vertAlign w:val="subscript"/>
        </w:rPr>
        <w:t>2</w:t>
      </w:r>
      <w:r>
        <w:rPr>
          <w:rFonts w:ascii="Times New Roman" w:eastAsiaTheme="minorEastAsia"/>
          <w:sz w:val="24"/>
          <w:szCs w:val="24"/>
        </w:rPr>
        <w:t>e/kWh）；</w:t>
      </w:r>
    </w:p>
    <w:p>
      <w:pPr>
        <w:pStyle w:val="23"/>
        <w:spacing w:line="360" w:lineRule="auto"/>
        <w:ind w:firstLine="480"/>
        <w:rPr>
          <w:rFonts w:ascii="Times New Roman" w:eastAsiaTheme="minorEastAsia"/>
          <w:sz w:val="24"/>
          <w:szCs w:val="24"/>
        </w:rPr>
      </w:pPr>
      <w:r>
        <w:rPr>
          <w:rFonts w:ascii="Times New Roman" w:eastAsiaTheme="minorEastAsia"/>
          <w:sz w:val="24"/>
          <w:szCs w:val="24"/>
        </w:rPr>
        <w:t>3.6——单位转换系数，单位（</w:t>
      </w:r>
      <w:r>
        <w:rPr>
          <w:rFonts w:hint="eastAsia" w:ascii="Times New Roman" w:eastAsiaTheme="minorEastAsia"/>
          <w:sz w:val="24"/>
          <w:szCs w:val="24"/>
        </w:rPr>
        <w:t>MJ/</w:t>
      </w:r>
      <w:r>
        <w:rPr>
          <w:rFonts w:ascii="Times New Roman" w:eastAsiaTheme="minorEastAsia"/>
          <w:sz w:val="24"/>
          <w:szCs w:val="24"/>
        </w:rPr>
        <w:t>kWh），</w:t>
      </w:r>
      <w:r>
        <w:rPr>
          <w:rFonts w:hint="eastAsia" w:ascii="Times New Roman" w:eastAsiaTheme="minorEastAsia"/>
          <w:sz w:val="24"/>
          <w:szCs w:val="24"/>
        </w:rPr>
        <w:t>1千瓦时（kWh）=3.6 兆焦（MJ）</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ascii="Times New Roman" w:eastAsiaTheme="minorEastAsia"/>
          <w:sz w:val="24"/>
          <w:szCs w:val="24"/>
        </w:rPr>
        <w:t>由滚动阻力（RR）造成的能量消耗</w:t>
      </w:r>
      <m:oMath>
        <m:sSub>
          <m:sSubPr>
            <m:ctrlPr>
              <w:rPr>
                <w:rFonts w:ascii="DejaVu Math TeX Gyre" w:hAnsi="DejaVu Math TeX Gyre" w:eastAsiaTheme="minorEastAsia"/>
                <w:sz w:val="24"/>
                <w:szCs w:val="24"/>
              </w:rPr>
            </m:ctrlPr>
          </m:sSubPr>
          <m:e>
            <m:r>
              <m:rPr>
                <m:nor/>
                <m:sty m:val="p"/>
              </m:rPr>
              <w:rPr>
                <w:rFonts w:hint="eastAsia" w:ascii="Times New Roman" w:eastAsiaTheme="minorEastAsia"/>
                <w:sz w:val="24"/>
                <w:szCs w:val="24"/>
              </w:rPr>
              <m:t>E</m:t>
            </m:r>
            <m:ctrlPr>
              <w:rPr>
                <w:rFonts w:ascii="DejaVu Math TeX Gyre" w:hAnsi="DejaVu Math TeX Gyre" w:eastAsiaTheme="minorEastAsia"/>
                <w:sz w:val="24"/>
                <w:szCs w:val="24"/>
              </w:rPr>
            </m:ctrlPr>
          </m:e>
          <m:sub>
            <m:r>
              <m:rPr>
                <m:sty m:val="p"/>
              </m:rPr>
              <w:rPr>
                <w:rFonts w:ascii="Times New Roman" w:eastAsiaTheme="minorEastAsia"/>
                <w:sz w:val="24"/>
                <w:szCs w:val="24"/>
              </w:rPr>
              <m:t>RR</m:t>
            </m:r>
            <m:ctrlPr>
              <w:rPr>
                <w:rFonts w:ascii="DejaVu Math TeX Gyre" w:hAnsi="DejaVu Math TeX Gyre" w:eastAsiaTheme="minorEastAsia"/>
                <w:sz w:val="24"/>
                <w:szCs w:val="24"/>
              </w:rPr>
            </m:ctrlPr>
          </m:sub>
        </m:sSub>
      </m:oMath>
      <w:r>
        <w:rPr>
          <w:rFonts w:ascii="Times New Roman" w:eastAsiaTheme="minorEastAsia"/>
          <w:sz w:val="24"/>
          <w:szCs w:val="24"/>
        </w:rPr>
        <w:t>的计算公式如下：</w:t>
      </w:r>
    </w:p>
    <w:p>
      <w:pPr>
        <w:pStyle w:val="23"/>
        <w:spacing w:line="360" w:lineRule="auto"/>
        <w:ind w:firstLine="1080" w:firstLineChars="450"/>
        <w:rPr>
          <w:rFonts w:ascii="Times New Roman" w:eastAsiaTheme="minorEastAsia"/>
          <w:sz w:val="24"/>
          <w:szCs w:val="24"/>
        </w:rPr>
      </w:pP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E</m:t>
            </m:r>
            <m:ctrlPr>
              <w:rPr>
                <w:rFonts w:ascii="DejaVu Math TeX Gyre" w:hAnsi="DejaVu Math TeX Gyre" w:eastAsiaTheme="minorEastAsia"/>
                <w:i/>
                <w:iCs/>
                <w:sz w:val="24"/>
                <w:szCs w:val="24"/>
              </w:rPr>
            </m:ctrlPr>
          </m:e>
          <m:sub>
            <m:r>
              <m:rPr/>
              <w:rPr>
                <w:rFonts w:ascii="Cambria Math" w:eastAsiaTheme="minorEastAsia"/>
                <w:sz w:val="24"/>
                <w:szCs w:val="24"/>
              </w:rPr>
              <m:t>RR</m:t>
            </m:r>
            <m:ctrlPr>
              <w:rPr>
                <w:rFonts w:ascii="DejaVu Math TeX Gyre" w:hAnsi="DejaVu Math TeX Gyre" w:eastAsiaTheme="minorEastAsia"/>
                <w:i/>
                <w:iCs/>
                <w:sz w:val="24"/>
                <w:szCs w:val="24"/>
              </w:rPr>
            </m:ctrlPr>
          </m:sub>
        </m:sSub>
        <m:r>
          <m:rPr>
            <m:sty m:val="p"/>
          </m:rPr>
          <w:rPr>
            <w:rFonts w:ascii="Times New Roman" w:eastAsiaTheme="minorEastAsia"/>
            <w:sz w:val="24"/>
            <w:szCs w:val="24"/>
          </w:rPr>
          <m:t>=</m:t>
        </m:r>
        <m:f>
          <m:fPr>
            <m:ctrlPr>
              <w:rPr>
                <w:rFonts w:ascii="DejaVu Math TeX Gyre" w:hAnsi="DejaVu Math TeX Gyre" w:eastAsiaTheme="minorEastAsia"/>
                <w:sz w:val="24"/>
                <w:szCs w:val="24"/>
              </w:rPr>
            </m:ctrlPr>
          </m:fPr>
          <m:num>
            <m:r>
              <m:rPr>
                <m:sty m:val="p"/>
              </m:rPr>
              <w:rPr>
                <w:rFonts w:ascii="Times New Roman" w:eastAsiaTheme="minorEastAsia"/>
                <w:sz w:val="24"/>
                <w:szCs w:val="24"/>
              </w:rPr>
              <m:t>（</m:t>
            </m:r>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m:t>
                </m:r>
                <m:ctrlPr>
                  <w:rPr>
                    <w:rFonts w:ascii="DejaVu Math TeX Gyre" w:hAnsi="DejaVu Math TeX Gyre" w:eastAsiaTheme="minorEastAsia"/>
                    <w:i/>
                    <w:iCs/>
                    <w:sz w:val="24"/>
                    <w:szCs w:val="24"/>
                  </w:rPr>
                </m:ctrlPr>
              </m:sub>
            </m:sSub>
            <m:r>
              <m:rPr>
                <m:sty m:val="p"/>
              </m:rPr>
              <w:rPr>
                <w:rFonts w:ascii="Times New Roman" w:eastAsiaTheme="minorEastAsia"/>
                <w:sz w:val="24"/>
                <w:szCs w:val="24"/>
              </w:rPr>
              <m:t>+</m:t>
            </m:r>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rworn</m:t>
                </m:r>
                <m:ctrlPr>
                  <w:rPr>
                    <w:rFonts w:ascii="DejaVu Math TeX Gyre" w:hAnsi="DejaVu Math TeX Gyre" w:eastAsiaTheme="minorEastAsia"/>
                    <w:i/>
                    <w:iCs/>
                    <w:sz w:val="24"/>
                    <w:szCs w:val="24"/>
                  </w:rPr>
                </m:ctrlPr>
              </m:sub>
            </m:sSub>
            <m:r>
              <m:rPr>
                <m:sty m:val="p"/>
              </m:rPr>
              <w:rPr>
                <w:rFonts w:ascii="Times New Roman" w:eastAsiaTheme="minorEastAsia"/>
                <w:sz w:val="24"/>
                <w:szCs w:val="24"/>
              </w:rPr>
              <m:t>）</m:t>
            </m:r>
            <m:ctrlPr>
              <w:rPr>
                <w:rFonts w:ascii="DejaVu Math TeX Gyre" w:hAnsi="DejaVu Math TeX Gyre" w:eastAsiaTheme="minorEastAsia"/>
                <w:sz w:val="24"/>
                <w:szCs w:val="24"/>
              </w:rPr>
            </m:ctrlPr>
          </m:num>
          <m:den>
            <m:r>
              <m:rPr>
                <m:sty m:val="p"/>
              </m:rPr>
              <w:rPr>
                <w:rFonts w:ascii="Times New Roman" w:eastAsiaTheme="minorEastAsia"/>
                <w:sz w:val="24"/>
                <w:szCs w:val="24"/>
              </w:rPr>
              <m:t>2</m:t>
            </m:r>
            <m:ctrlPr>
              <w:rPr>
                <w:rFonts w:ascii="DejaVu Math TeX Gyre" w:hAnsi="DejaVu Math TeX Gyre" w:eastAsiaTheme="minorEastAsia"/>
                <w:sz w:val="24"/>
                <w:szCs w:val="24"/>
              </w:rPr>
            </m:ctrlPr>
          </m:den>
        </m:f>
        <m:r>
          <m:rPr>
            <m:sty m:val="p"/>
          </m:rPr>
          <w:rPr>
            <w:rFonts w:ascii="Times New Roman" w:eastAsiaTheme="minorEastAsia"/>
            <w:sz w:val="24"/>
            <w:szCs w:val="24"/>
          </w:rPr>
          <m:t>×</m:t>
        </m:r>
        <m:r>
          <m:rPr/>
          <w:rPr>
            <w:rFonts w:ascii="Cambria Math" w:eastAsiaTheme="minorEastAsia"/>
            <w:sz w:val="24"/>
            <w:szCs w:val="24"/>
          </w:rPr>
          <m:t>H</m:t>
        </m:r>
        <m:r>
          <m:rPr>
            <m:sty m:val="p"/>
          </m:rPr>
          <w:rPr>
            <w:rFonts w:ascii="Times New Roman" w:eastAsiaTheme="minorEastAsia"/>
            <w:sz w:val="24"/>
            <w:szCs w:val="24"/>
          </w:rPr>
          <m:t>×</m:t>
        </m:r>
        <m:r>
          <m:rPr/>
          <w:rPr>
            <w:rFonts w:ascii="Cambria Math" w:eastAsiaTheme="minorEastAsia"/>
            <w:sz w:val="24"/>
            <w:szCs w:val="24"/>
          </w:rPr>
          <m:t>L</m:t>
        </m:r>
        <m:r>
          <m:rPr>
            <m:sty m:val="p"/>
          </m:rPr>
          <w:rPr>
            <w:rFonts w:ascii="Times New Roman" w:eastAsiaTheme="minorEastAsia"/>
            <w:sz w:val="24"/>
            <w:szCs w:val="24"/>
          </w:rPr>
          <m:t>×</m:t>
        </m:r>
        <m:r>
          <m:rPr/>
          <w:rPr>
            <w:rFonts w:ascii="Cambria Math" w:eastAsiaTheme="minorEastAsia"/>
            <w:sz w:val="24"/>
            <w:szCs w:val="24"/>
          </w:rPr>
          <m:t>g</m:t>
        </m:r>
        <m:r>
          <m:rPr>
            <m:sty m:val="p"/>
          </m:rPr>
          <w:rPr>
            <w:rFonts w:ascii="Times New Roman" w:eastAsiaTheme="minorEastAsia"/>
            <w:sz w:val="24"/>
            <w:szCs w:val="24"/>
          </w:rPr>
          <m:t>（</m:t>
        </m:r>
        <m:r>
          <m:rPr/>
          <w:rPr>
            <w:rFonts w:ascii="Cambria Math" w:eastAsiaTheme="minorEastAsia"/>
            <w:sz w:val="24"/>
            <w:szCs w:val="24"/>
          </w:rPr>
          <m:t>T</m:t>
        </m:r>
        <m:r>
          <m:rPr>
            <m:sty m:val="p"/>
          </m:rPr>
          <w:rPr>
            <w:rFonts w:ascii="Times New Roman" w:eastAsiaTheme="minorEastAsia"/>
            <w:sz w:val="24"/>
            <w:szCs w:val="24"/>
          </w:rPr>
          <m:t>+（1−</m:t>
        </m:r>
        <m:r>
          <m:rPr/>
          <w:rPr>
            <w:rFonts w:ascii="Cambria Math" w:eastAsiaTheme="minorEastAsia"/>
            <w:sz w:val="24"/>
            <w:szCs w:val="24"/>
          </w:rPr>
          <m:t>T</m:t>
        </m:r>
        <m:r>
          <m:rPr>
            <m:sty m:val="p"/>
          </m:rPr>
          <w:rPr>
            <w:rFonts w:ascii="Times New Roman" w:eastAsiaTheme="minorEastAsia"/>
            <w:sz w:val="24"/>
            <w:szCs w:val="24"/>
          </w:rPr>
          <m:t>）</m:t>
        </m:r>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3</m:t>
            </m:r>
            <m:ctrlPr>
              <w:rPr>
                <w:rFonts w:ascii="DejaVu Math TeX Gyre" w:hAnsi="DejaVu Math TeX Gyre" w:eastAsiaTheme="minorEastAsia"/>
                <w:sz w:val="24"/>
                <w:szCs w:val="24"/>
              </w:rPr>
            </m:ctrlPr>
          </m:sub>
        </m:sSub>
        <m:r>
          <m:rPr>
            <m:sty m:val="p"/>
          </m:rPr>
          <w:rPr>
            <w:rFonts w:ascii="Times New Roman" w:eastAsiaTheme="minorEastAsia"/>
            <w:sz w:val="24"/>
            <w:szCs w:val="24"/>
          </w:rPr>
          <m:t>）/(1000</m:t>
        </m:r>
        <m:r>
          <m:rPr>
            <m:sty m:val="p"/>
          </m:rPr>
          <w:rPr>
            <w:rFonts w:ascii="Cambria Math" w:hAnsi="Cambria Math"/>
            <w:sz w:val="24"/>
            <w:szCs w:val="24"/>
          </w:rPr>
          <m:t>×</m:t>
        </m:r>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1</m:t>
            </m:r>
            <m:ctrlPr>
              <w:rPr>
                <w:rFonts w:ascii="DejaVu Math TeX Gyre" w:hAnsi="DejaVu Math TeX Gyre" w:eastAsiaTheme="minorEastAsia"/>
                <w:sz w:val="24"/>
                <w:szCs w:val="24"/>
              </w:rPr>
            </m:ctrlPr>
          </m:sub>
        </m:sSub>
        <m:sSub>
          <m:sSubPr>
            <m:ctrlPr>
              <w:rPr>
                <w:rFonts w:ascii="DejaVu Math TeX Gyre" w:hAnsi="DejaVu Math TeX Gyre" w:eastAsiaTheme="minorEastAsia"/>
                <w:sz w:val="24"/>
                <w:szCs w:val="24"/>
              </w:rPr>
            </m:ctrlPr>
          </m:sSubPr>
          <m:e>
            <m:r>
              <m:rPr>
                <m:sty m:val="p"/>
              </m:rPr>
              <w:rPr>
                <w:rFonts w:ascii="Cambria Math" w:hAnsi="Cambria Math"/>
                <w:sz w:val="24"/>
                <w:szCs w:val="24"/>
              </w:rPr>
              <m:t>×</m:t>
            </m:r>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2</m:t>
            </m:r>
            <m:ctrlPr>
              <w:rPr>
                <w:rFonts w:ascii="DejaVu Math TeX Gyre" w:hAnsi="DejaVu Math TeX Gyre" w:eastAsiaTheme="minorEastAsia"/>
                <w:sz w:val="24"/>
                <w:szCs w:val="24"/>
              </w:rPr>
            </m:ctrlPr>
          </m:sub>
        </m:sSub>
        <m:r>
          <m:rPr>
            <m:sty m:val="p"/>
          </m:rPr>
          <w:rPr>
            <w:rFonts w:ascii="Times New Roman" w:eastAsiaTheme="minorEastAsia"/>
            <w:sz w:val="24"/>
            <w:szCs w:val="24"/>
          </w:rPr>
          <m:t>)</m:t>
        </m:r>
      </m:oMath>
      <w:r>
        <w:rPr>
          <w:rFonts w:hint="eastAsia" w:ascii="Times New Roman" w:eastAsiaTheme="minorEastAsia"/>
          <w:sz w:val="24"/>
          <w:szCs w:val="24"/>
        </w:rPr>
        <w:t xml:space="preserve">       </w:t>
      </w:r>
      <w:r>
        <w:rPr>
          <w:rFonts w:ascii="Times New Roman" w:eastAsiaTheme="minorEastAsia"/>
          <w:sz w:val="24"/>
          <w:szCs w:val="24"/>
        </w:rPr>
        <w:t>（6）</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式中</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m:t>
            </m:r>
            <m:ctrlPr>
              <w:rPr>
                <w:rFonts w:ascii="DejaVu Math TeX Gyre" w:hAnsi="DejaVu Math TeX Gyre" w:eastAsiaTheme="minorEastAsia"/>
                <w:i/>
                <w:iCs/>
                <w:sz w:val="24"/>
                <w:szCs w:val="24"/>
              </w:rPr>
            </m:ctrlPr>
          </m:sub>
        </m:sSub>
      </m:oMath>
      <w:r>
        <w:rPr>
          <w:rFonts w:ascii="Times New Roman" w:eastAsiaTheme="minorEastAsia"/>
          <w:sz w:val="24"/>
          <w:szCs w:val="24"/>
        </w:rPr>
        <w:t>——</w:t>
      </w:r>
      <w:r>
        <w:rPr>
          <w:rFonts w:hint="eastAsia" w:ascii="Times New Roman" w:eastAsiaTheme="minorEastAsia"/>
          <w:sz w:val="24"/>
          <w:szCs w:val="24"/>
        </w:rPr>
        <w:t>新轮胎的滚动阻力系数，单位为牛每千牛（N/kN），采用按GB/T 29040进行测试并按照GB/T</w:t>
      </w:r>
      <w:r>
        <w:rPr>
          <w:rFonts w:ascii="Times New Roman" w:eastAsiaTheme="minorEastAsia"/>
          <w:sz w:val="24"/>
          <w:szCs w:val="24"/>
        </w:rPr>
        <w:t xml:space="preserve"> </w:t>
      </w:r>
      <w:r>
        <w:rPr>
          <w:rFonts w:hint="eastAsia" w:ascii="Times New Roman" w:eastAsiaTheme="minorEastAsia"/>
          <w:sz w:val="24"/>
          <w:szCs w:val="24"/>
        </w:rPr>
        <w:t>29042 计算判定值；</w:t>
      </w:r>
    </w:p>
    <w:p>
      <w:pPr>
        <w:pStyle w:val="23"/>
        <w:spacing w:line="360" w:lineRule="auto"/>
        <w:ind w:firstLine="480"/>
        <w:rPr>
          <w:rFonts w:ascii="Times New Roman" w:eastAsiaTheme="minorEastAsia"/>
          <w:sz w:val="24"/>
          <w:szCs w:val="24"/>
        </w:rPr>
      </w:pP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rworn</m:t>
            </m:r>
            <m:ctrlPr>
              <w:rPr>
                <w:rFonts w:ascii="DejaVu Math TeX Gyre" w:hAnsi="DejaVu Math TeX Gyre" w:eastAsiaTheme="minorEastAsia"/>
                <w:i/>
                <w:iCs/>
                <w:sz w:val="24"/>
                <w:szCs w:val="24"/>
              </w:rPr>
            </m:ctrlPr>
          </m:sub>
        </m:sSub>
      </m:oMath>
      <w:r>
        <w:rPr>
          <w:rFonts w:ascii="Times New Roman" w:eastAsiaTheme="minorEastAsia"/>
          <w:sz w:val="24"/>
          <w:szCs w:val="24"/>
        </w:rPr>
        <w:t>——</w:t>
      </w:r>
      <w:r>
        <w:rPr>
          <w:rFonts w:hint="eastAsia" w:ascii="Times New Roman" w:eastAsiaTheme="minorEastAsia"/>
          <w:sz w:val="24"/>
          <w:szCs w:val="24"/>
        </w:rPr>
        <w:t>轮胎胎面磨损到胎面磨耗标志时的滚动阻力系数，单位为牛每千牛（N/kN）。可按照GB/T</w:t>
      </w:r>
      <w:r>
        <w:rPr>
          <w:rFonts w:ascii="Times New Roman" w:eastAsiaTheme="minorEastAsia"/>
          <w:sz w:val="24"/>
          <w:szCs w:val="24"/>
        </w:rPr>
        <w:t xml:space="preserve"> </w:t>
      </w:r>
      <w:r>
        <w:rPr>
          <w:rFonts w:hint="eastAsia" w:ascii="Times New Roman" w:eastAsiaTheme="minorEastAsia"/>
          <w:sz w:val="24"/>
          <w:szCs w:val="24"/>
        </w:rPr>
        <w:t>42359 磨削主花纹沟至目标花纹沟深度2 mm后，按照GB/T 29040 进行测试并按照GB/T 29042 转换成判定值；轿车轮胎、单胎负荷指数≤121且速度级别为N及其以上的微型、轻型载重汽车轮胎</w:t>
      </w: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rworn</m:t>
            </m:r>
            <m:ctrlPr>
              <w:rPr>
                <w:rFonts w:ascii="DejaVu Math TeX Gyre" w:hAnsi="DejaVu Math TeX Gyre" w:eastAsiaTheme="minorEastAsia"/>
                <w:i/>
                <w:iCs/>
                <w:sz w:val="24"/>
                <w:szCs w:val="24"/>
              </w:rPr>
            </m:ctrlPr>
          </m:sub>
        </m:sSub>
      </m:oMath>
      <w:r>
        <w:rPr>
          <w:rFonts w:hint="eastAsia" w:ascii="Times New Roman" w:eastAsiaTheme="minorEastAsia"/>
          <w:sz w:val="24"/>
          <w:szCs w:val="24"/>
        </w:rPr>
        <w:t>缺省值参见附录B；单胎负荷指数≤121且速度级别为M及其以下的微型、轻型载重汽车轮胎或单胎负荷指数＞121的微型、轻型载重汽车轮胎或载重汽车轮胎</w:t>
      </w: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rworn</m:t>
            </m:r>
            <m:ctrlPr>
              <w:rPr>
                <w:rFonts w:ascii="DejaVu Math TeX Gyre" w:hAnsi="DejaVu Math TeX Gyre" w:eastAsiaTheme="minorEastAsia"/>
                <w:i/>
                <w:iCs/>
                <w:sz w:val="24"/>
                <w:szCs w:val="24"/>
              </w:rPr>
            </m:ctrlPr>
          </m:sub>
        </m:sSub>
      </m:oMath>
      <w:r>
        <w:rPr>
          <w:rFonts w:hint="eastAsia" w:ascii="Times New Roman" w:eastAsiaTheme="minorEastAsia"/>
          <w:sz w:val="24"/>
          <w:szCs w:val="24"/>
        </w:rPr>
        <w:t>，可按公式（</w:t>
      </w:r>
      <w:r>
        <w:rPr>
          <w:rFonts w:ascii="Times New Roman" w:eastAsiaTheme="minorEastAsia"/>
          <w:sz w:val="24"/>
          <w:szCs w:val="24"/>
        </w:rPr>
        <w:t>7</w:t>
      </w:r>
      <w:r>
        <w:rPr>
          <w:rFonts w:hint="eastAsia" w:ascii="Times New Roman" w:eastAsiaTheme="minorEastAsia"/>
          <w:sz w:val="24"/>
          <w:szCs w:val="24"/>
        </w:rPr>
        <w:t>）计算；</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H</w:t>
      </w:r>
      <w:r>
        <w:rPr>
          <w:rFonts w:ascii="Times New Roman" w:eastAsiaTheme="minorEastAsia"/>
          <w:sz w:val="24"/>
          <w:szCs w:val="24"/>
        </w:rPr>
        <w:t>——</w:t>
      </w:r>
      <w:r>
        <w:rPr>
          <w:rFonts w:hint="eastAsia" w:ascii="Times New Roman" w:eastAsiaTheme="minorEastAsia"/>
          <w:sz w:val="24"/>
          <w:szCs w:val="24"/>
        </w:rPr>
        <w:t>轮胎参考负荷，单位为吨（t）；</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L</w:t>
      </w:r>
      <w:r>
        <w:rPr>
          <w:rFonts w:ascii="Times New Roman" w:eastAsiaTheme="minorEastAsia"/>
          <w:sz w:val="24"/>
          <w:szCs w:val="24"/>
        </w:rPr>
        <w:t>——</w:t>
      </w:r>
      <w:r>
        <w:rPr>
          <w:rFonts w:hint="eastAsia" w:ascii="Times New Roman" w:eastAsiaTheme="minorEastAsia"/>
          <w:sz w:val="24"/>
          <w:szCs w:val="24"/>
        </w:rPr>
        <w:t>轮胎使用寿命，单位为千米（km），缺省值参见附录B；</w:t>
      </w:r>
    </w:p>
    <w:p>
      <w:pPr>
        <w:pStyle w:val="23"/>
        <w:spacing w:line="360" w:lineRule="auto"/>
        <w:ind w:firstLine="480"/>
        <w:rPr>
          <w:rFonts w:ascii="Times New Roman" w:eastAsiaTheme="minorEastAsia"/>
          <w:sz w:val="24"/>
          <w:szCs w:val="24"/>
        </w:rPr>
      </w:pPr>
      <m:oMath>
        <m:r>
          <m:rPr/>
          <w:rPr>
            <w:rFonts w:ascii="Cambria Math" w:eastAsiaTheme="minorEastAsia"/>
            <w:sz w:val="24"/>
            <w:szCs w:val="24"/>
          </w:rPr>
          <m:t>g</m:t>
        </m:r>
      </m:oMath>
      <w:r>
        <w:rPr>
          <w:rFonts w:ascii="Times New Roman" w:eastAsiaTheme="minorEastAsia"/>
          <w:sz w:val="24"/>
          <w:szCs w:val="24"/>
        </w:rPr>
        <w:t>——</w:t>
      </w:r>
      <w:r>
        <w:rPr>
          <w:rFonts w:hint="eastAsia" w:ascii="Times New Roman" w:eastAsiaTheme="minorEastAsia"/>
          <w:sz w:val="24"/>
          <w:szCs w:val="24"/>
        </w:rPr>
        <w:t>重力加速度，取9.81</w:t>
      </w:r>
      <w:r>
        <w:rPr>
          <w:rFonts w:ascii="Times New Roman" w:eastAsiaTheme="minorEastAsia"/>
          <w:sz w:val="24"/>
          <w:szCs w:val="24"/>
        </w:rPr>
        <w:t xml:space="preserve"> </w:t>
      </w:r>
      <w:r>
        <w:rPr>
          <w:rFonts w:hint="eastAsia" w:ascii="Times New Roman" w:eastAsiaTheme="minorEastAsia"/>
          <w:sz w:val="24"/>
          <w:szCs w:val="24"/>
        </w:rPr>
        <w:t>m/s²；</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T</w:t>
      </w:r>
      <w:r>
        <w:rPr>
          <w:rFonts w:ascii="Times New Roman" w:eastAsiaTheme="minorEastAsia"/>
          <w:sz w:val="24"/>
          <w:szCs w:val="24"/>
        </w:rPr>
        <w:t>——</w:t>
      </w:r>
      <w:r>
        <w:rPr>
          <w:rFonts w:hint="eastAsia" w:ascii="Times New Roman" w:eastAsiaTheme="minorEastAsia"/>
          <w:sz w:val="24"/>
          <w:szCs w:val="24"/>
        </w:rPr>
        <w:t>车辆驾驶工况中牵引力大于零的时间百分比，牵引力按照GB 18352.6 计算，缺省值参见附录B；</w:t>
      </w:r>
    </w:p>
    <w:p>
      <w:pPr>
        <w:pStyle w:val="23"/>
        <w:spacing w:line="360" w:lineRule="auto"/>
        <w:ind w:firstLine="480"/>
        <w:rPr>
          <w:rFonts w:ascii="Times New Roman" w:eastAsiaTheme="minorEastAsia"/>
          <w:sz w:val="24"/>
          <w:szCs w:val="24"/>
        </w:rPr>
      </w:pPr>
      <m:oMath>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1</m:t>
            </m:r>
            <m:ctrlPr>
              <w:rPr>
                <w:rFonts w:ascii="DejaVu Math TeX Gyre" w:hAnsi="DejaVu Math TeX Gyre" w:eastAsiaTheme="minorEastAsia"/>
                <w:sz w:val="24"/>
                <w:szCs w:val="24"/>
              </w:rPr>
            </m:ctrlPr>
          </m:sub>
        </m:sSub>
      </m:oMath>
      <w:r>
        <w:rPr>
          <w:rFonts w:ascii="Times New Roman" w:eastAsiaTheme="minorEastAsia"/>
          <w:sz w:val="24"/>
          <w:szCs w:val="24"/>
        </w:rPr>
        <w:t>——</w:t>
      </w:r>
      <w:r>
        <w:rPr>
          <w:rFonts w:hint="eastAsia" w:ascii="Times New Roman" w:eastAsiaTheme="minorEastAsia"/>
          <w:sz w:val="24"/>
          <w:szCs w:val="24"/>
        </w:rPr>
        <w:t>动力系统效率，包含发动机热效率、燃料电池效率、电池效率等，无量纲，缺省值参见附录B；</w:t>
      </w:r>
    </w:p>
    <w:p>
      <w:pPr>
        <w:pStyle w:val="23"/>
        <w:spacing w:line="360" w:lineRule="auto"/>
        <w:ind w:firstLine="480"/>
        <w:rPr>
          <w:rFonts w:ascii="Times New Roman" w:eastAsiaTheme="minorEastAsia"/>
          <w:sz w:val="24"/>
          <w:szCs w:val="24"/>
        </w:rPr>
      </w:pPr>
      <m:oMath>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2</m:t>
            </m:r>
            <m:ctrlPr>
              <w:rPr>
                <w:rFonts w:ascii="DejaVu Math TeX Gyre" w:hAnsi="DejaVu Math TeX Gyre" w:eastAsiaTheme="minorEastAsia"/>
                <w:sz w:val="24"/>
                <w:szCs w:val="24"/>
              </w:rPr>
            </m:ctrlPr>
          </m:sub>
        </m:sSub>
      </m:oMath>
      <w:r>
        <w:rPr>
          <w:rFonts w:ascii="Times New Roman" w:eastAsiaTheme="minorEastAsia"/>
          <w:sz w:val="24"/>
          <w:szCs w:val="24"/>
        </w:rPr>
        <w:t>——</w:t>
      </w:r>
      <w:r>
        <w:rPr>
          <w:rFonts w:hint="eastAsia" w:ascii="Times New Roman" w:eastAsiaTheme="minorEastAsia"/>
          <w:sz w:val="24"/>
          <w:szCs w:val="24"/>
        </w:rPr>
        <w:t>传动系统效率，包含变速箱、传动轴、电机等，无量纲，缺省值参见附录B；</w:t>
      </w:r>
    </w:p>
    <w:p>
      <w:pPr>
        <w:pStyle w:val="23"/>
        <w:spacing w:line="360" w:lineRule="auto"/>
        <w:ind w:firstLine="480"/>
        <w:rPr>
          <w:rFonts w:ascii="Times New Roman" w:eastAsiaTheme="minorEastAsia"/>
          <w:sz w:val="24"/>
          <w:szCs w:val="24"/>
        </w:rPr>
      </w:pPr>
      <m:oMath>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3</m:t>
            </m:r>
            <m:ctrlPr>
              <w:rPr>
                <w:rFonts w:ascii="DejaVu Math TeX Gyre" w:hAnsi="DejaVu Math TeX Gyre" w:eastAsiaTheme="minorEastAsia"/>
                <w:sz w:val="24"/>
                <w:szCs w:val="24"/>
              </w:rPr>
            </m:ctrlPr>
          </m:sub>
        </m:sSub>
      </m:oMath>
      <w:r>
        <w:rPr>
          <w:rFonts w:ascii="Times New Roman" w:eastAsiaTheme="minorEastAsia"/>
          <w:sz w:val="24"/>
          <w:szCs w:val="24"/>
        </w:rPr>
        <w:t>——</w:t>
      </w:r>
      <w:r>
        <w:rPr>
          <w:rFonts w:hint="eastAsia" w:ascii="Times New Roman" w:eastAsiaTheme="minorEastAsia"/>
          <w:sz w:val="24"/>
          <w:szCs w:val="24"/>
        </w:rPr>
        <w:t>能量回收系统效率，无量纲，缺省值参见附录B；</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单胎负荷指数≤121且速度级别为M及其以下的微型、轻型载重汽车轮胎或单胎负荷指数＞121的微型、轻型载重汽车轮胎或载重汽车轮胎，轮胎胎面磨损到胎面磨耗标志时的滚动阻力系数</w:t>
      </w: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C</m:t>
            </m:r>
            <m:ctrlPr>
              <w:rPr>
                <w:rFonts w:ascii="DejaVu Math TeX Gyre" w:hAnsi="DejaVu Math TeX Gyre" w:eastAsiaTheme="minorEastAsia"/>
                <w:i/>
                <w:iCs/>
                <w:sz w:val="24"/>
                <w:szCs w:val="24"/>
              </w:rPr>
            </m:ctrlPr>
          </m:e>
          <m:sub>
            <m:r>
              <m:rPr/>
              <w:rPr>
                <w:rFonts w:ascii="Cambria Math" w:eastAsiaTheme="minorEastAsia"/>
                <w:sz w:val="24"/>
                <w:szCs w:val="24"/>
              </w:rPr>
              <m:t>rworn</m:t>
            </m:r>
            <m:ctrlPr>
              <w:rPr>
                <w:rFonts w:ascii="DejaVu Math TeX Gyre" w:hAnsi="DejaVu Math TeX Gyre" w:eastAsiaTheme="minorEastAsia"/>
                <w:i/>
                <w:iCs/>
                <w:sz w:val="24"/>
                <w:szCs w:val="24"/>
              </w:rPr>
            </m:ctrlPr>
          </m:sub>
        </m:sSub>
      </m:oMath>
      <w:r>
        <w:rPr>
          <w:rFonts w:hint="eastAsia" w:ascii="Times New Roman" w:eastAsiaTheme="minorEastAsia"/>
          <w:sz w:val="24"/>
          <w:szCs w:val="24"/>
        </w:rPr>
        <w:t>可按公式（</w:t>
      </w:r>
      <w:r>
        <w:rPr>
          <w:rFonts w:ascii="Times New Roman" w:eastAsiaTheme="minorEastAsia"/>
          <w:sz w:val="24"/>
          <w:szCs w:val="24"/>
        </w:rPr>
        <w:t>7</w:t>
      </w:r>
      <w:r>
        <w:rPr>
          <w:rFonts w:hint="eastAsia" w:ascii="Times New Roman" w:eastAsiaTheme="minorEastAsia"/>
          <w:sz w:val="24"/>
          <w:szCs w:val="24"/>
        </w:rPr>
        <w:t>）计算：</w:t>
      </w:r>
    </w:p>
    <w:p>
      <w:pPr>
        <w:pStyle w:val="23"/>
        <w:spacing w:line="360" w:lineRule="auto"/>
        <w:ind w:firstLine="2760" w:firstLineChars="1150"/>
        <w:rPr>
          <w:rFonts w:hAnsi="DejaVu Math TeX Gyre" w:eastAsiaTheme="minorEastAsia"/>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w:rPr>
                <w:rFonts w:ascii="Cambria Math" w:hAnsi="Cambria Math" w:eastAsiaTheme="minorEastAsia"/>
                <w:sz w:val="24"/>
                <w:szCs w:val="24"/>
              </w:rPr>
              <m:t>rworn</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=(1−0.224×(</m:t>
        </m:r>
        <m:r>
          <m:rPr/>
          <w:rPr>
            <w:rFonts w:ascii="Cambria Math" w:hAnsi="Cambria Math" w:eastAsiaTheme="minorEastAsia"/>
            <w:sz w:val="24"/>
            <w:szCs w:val="24"/>
          </w:rPr>
          <m:t>TD−TH</m:t>
        </m:r>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w:rPr>
                <w:rFonts w:ascii="Cambria Math" w:hAnsi="Cambria Math" w:eastAsiaTheme="minorEastAsia"/>
                <w:sz w:val="24"/>
                <w:szCs w:val="24"/>
              </w:rPr>
              <m:t>r</m:t>
            </m:r>
            <m:ctrlPr>
              <w:rPr>
                <w:rFonts w:ascii="Cambria Math" w:hAnsi="Cambria Math" w:eastAsiaTheme="minorEastAsia"/>
                <w:i/>
                <w:iCs/>
                <w:sz w:val="24"/>
                <w:szCs w:val="24"/>
              </w:rPr>
            </m:ctrlPr>
          </m:sub>
        </m:sSub>
      </m:oMath>
      <w:r>
        <w:rPr>
          <w:rFonts w:hint="eastAsia" w:hAnsi="DejaVu Math TeX Gyre" w:eastAsiaTheme="minorEastAsia"/>
          <w:sz w:val="24"/>
          <w:szCs w:val="24"/>
        </w:rPr>
        <w:t xml:space="preserve">                    </w:t>
      </w:r>
      <w:r>
        <w:rPr>
          <w:rFonts w:ascii="Times New Roman" w:eastAsiaTheme="minorEastAsia"/>
          <w:sz w:val="24"/>
          <w:szCs w:val="24"/>
        </w:rPr>
        <w:t>（7）</w:t>
      </w:r>
    </w:p>
    <w:p>
      <w:pPr>
        <w:pStyle w:val="23"/>
        <w:spacing w:line="360" w:lineRule="auto"/>
        <w:ind w:firstLine="0" w:firstLineChars="0"/>
        <w:rPr>
          <w:rFonts w:hAnsi="DejaVu Math TeX Gyre" w:eastAsiaTheme="minorEastAsia"/>
          <w:sz w:val="24"/>
          <w:szCs w:val="24"/>
        </w:rPr>
      </w:pPr>
      <w:r>
        <w:rPr>
          <w:rFonts w:hAnsi="DejaVu Math TeX Gyre" w:eastAsiaTheme="minorEastAsia"/>
          <w:sz w:val="24"/>
          <w:szCs w:val="24"/>
        </w:rPr>
        <w:t xml:space="preserve">    式中：</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TD</w:t>
      </w:r>
      <w:r>
        <w:rPr>
          <w:rFonts w:ascii="Times New Roman" w:eastAsiaTheme="minorEastAsia"/>
          <w:sz w:val="24"/>
          <w:szCs w:val="24"/>
        </w:rPr>
        <w:t>——</w:t>
      </w:r>
      <w:r>
        <w:rPr>
          <w:rFonts w:hint="eastAsia" w:ascii="Times New Roman" w:eastAsiaTheme="minorEastAsia"/>
          <w:sz w:val="24"/>
          <w:szCs w:val="24"/>
        </w:rPr>
        <w:t>胎面深度，单位为厘米（cm），取全部主花纹沟的深度平均值；</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TH</w:t>
      </w:r>
      <w:r>
        <w:rPr>
          <w:rFonts w:ascii="Times New Roman" w:eastAsiaTheme="minorEastAsia"/>
          <w:sz w:val="24"/>
          <w:szCs w:val="24"/>
        </w:rPr>
        <w:t>——</w:t>
      </w:r>
      <w:r>
        <w:rPr>
          <w:rFonts w:hint="eastAsia" w:ascii="Times New Roman" w:eastAsiaTheme="minorEastAsia"/>
          <w:sz w:val="24"/>
          <w:szCs w:val="24"/>
        </w:rPr>
        <w:t>胎面磨耗标志高度，单位为厘米（cm）；</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 xml:space="preserve">轮胎参考负荷 </w:t>
      </w:r>
      <m:oMath>
        <m:r>
          <m:rPr/>
          <w:rPr>
            <w:rFonts w:ascii="Cambria Math" w:eastAsiaTheme="minorEastAsia"/>
            <w:sz w:val="24"/>
            <w:szCs w:val="24"/>
          </w:rPr>
          <m:t>H</m:t>
        </m:r>
      </m:oMath>
      <w:r>
        <w:rPr>
          <w:rFonts w:hint="eastAsia" w:ascii="Times New Roman" w:eastAsiaTheme="minorEastAsia"/>
          <w:sz w:val="24"/>
          <w:szCs w:val="24"/>
        </w:rPr>
        <w:t xml:space="preserve"> 应按式（</w:t>
      </w:r>
      <w:r>
        <w:rPr>
          <w:rFonts w:ascii="Times New Roman" w:eastAsiaTheme="minorEastAsia"/>
          <w:sz w:val="24"/>
          <w:szCs w:val="24"/>
        </w:rPr>
        <w:t>8</w:t>
      </w:r>
      <w:r>
        <w:rPr>
          <w:rFonts w:hint="eastAsia" w:ascii="Times New Roman" w:eastAsiaTheme="minorEastAsia"/>
          <w:sz w:val="24"/>
          <w:szCs w:val="24"/>
        </w:rPr>
        <w:t>）进行计算：</w:t>
      </w:r>
    </w:p>
    <w:p>
      <w:pPr>
        <w:pStyle w:val="23"/>
        <w:spacing w:line="360" w:lineRule="auto"/>
        <w:ind w:firstLine="4440" w:firstLineChars="1850"/>
        <w:rPr>
          <w:rFonts w:hAnsi="DejaVu Math TeX Gyre" w:eastAsiaTheme="minorEastAsia"/>
          <w:sz w:val="24"/>
          <w:szCs w:val="24"/>
        </w:rPr>
      </w:pPr>
      <m:oMath>
        <m:r>
          <m:rPr/>
          <w:rPr>
            <w:rFonts w:ascii="Cambria Math" w:eastAsiaTheme="minorEastAsia"/>
            <w:sz w:val="24"/>
            <w:szCs w:val="24"/>
          </w:rPr>
          <m:t>H</m:t>
        </m:r>
        <m:r>
          <m:rPr>
            <m:sty m:val="p"/>
          </m:rPr>
          <w:rPr>
            <w:rFonts w:ascii="Times New Roman" w:eastAsiaTheme="minorEastAsia"/>
            <w:sz w:val="24"/>
            <w:szCs w:val="24"/>
          </w:rPr>
          <m:t>=</m:t>
        </m:r>
        <m:r>
          <m:rPr/>
          <w:rPr>
            <w:rFonts w:ascii="Cambria Math" w:eastAsiaTheme="minorEastAsia"/>
            <w:sz w:val="24"/>
            <w:szCs w:val="24"/>
          </w:rPr>
          <m:t>N</m:t>
        </m:r>
        <m:r>
          <m:rPr>
            <m:sty m:val="p"/>
          </m:rPr>
          <w:rPr>
            <w:rFonts w:ascii="Times New Roman" w:eastAsiaTheme="minorEastAsia"/>
            <w:sz w:val="24"/>
            <w:szCs w:val="24"/>
          </w:rPr>
          <m:t>×</m:t>
        </m:r>
        <m:sSub>
          <m:sSubPr>
            <m:ctrlPr>
              <w:rPr>
                <w:rFonts w:ascii="DejaVu Math TeX Gyre" w:hAnsi="DejaVu Math TeX Gyre" w:eastAsiaTheme="minorEastAsia"/>
                <w:i/>
                <w:iCs/>
                <w:sz w:val="24"/>
                <w:szCs w:val="24"/>
              </w:rPr>
            </m:ctrlPr>
          </m:sSubPr>
          <m:e>
            <m:r>
              <m:rPr/>
              <w:rPr>
                <w:rFonts w:ascii="Cambria Math" w:eastAsiaTheme="minorEastAsia"/>
                <w:sz w:val="24"/>
                <w:szCs w:val="24"/>
              </w:rPr>
              <m:t>f</m:t>
            </m:r>
            <m:ctrlPr>
              <w:rPr>
                <w:rFonts w:ascii="DejaVu Math TeX Gyre" w:hAnsi="DejaVu Math TeX Gyre" w:eastAsiaTheme="minorEastAsia"/>
                <w:i/>
                <w:iCs/>
                <w:sz w:val="24"/>
                <w:szCs w:val="24"/>
              </w:rPr>
            </m:ctrlPr>
          </m:e>
          <m:sub>
            <m:r>
              <m:rPr/>
              <w:rPr>
                <w:rFonts w:ascii="Cambria Math" w:eastAsiaTheme="minorEastAsia"/>
                <w:sz w:val="24"/>
                <w:szCs w:val="24"/>
              </w:rPr>
              <m:t>H</m:t>
            </m:r>
            <m:ctrlPr>
              <w:rPr>
                <w:rFonts w:ascii="DejaVu Math TeX Gyre" w:hAnsi="DejaVu Math TeX Gyre" w:eastAsiaTheme="minorEastAsia"/>
                <w:i/>
                <w:iCs/>
                <w:sz w:val="24"/>
                <w:szCs w:val="24"/>
              </w:rPr>
            </m:ctrlPr>
          </m:sub>
        </m:sSub>
      </m:oMath>
      <w:r>
        <w:rPr>
          <w:rFonts w:hint="eastAsia" w:hAnsi="DejaVu Math TeX Gyre" w:eastAsiaTheme="minorEastAsia"/>
          <w:sz w:val="24"/>
          <w:szCs w:val="24"/>
        </w:rPr>
        <w:t xml:space="preserve">                            </w:t>
      </w:r>
      <w:r>
        <w:rPr>
          <w:rFonts w:ascii="Times New Roman" w:eastAsiaTheme="minorEastAsia"/>
          <w:sz w:val="24"/>
          <w:szCs w:val="24"/>
        </w:rPr>
        <w:t>（8）</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式中</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N</w:t>
      </w:r>
      <w:r>
        <w:rPr>
          <w:rFonts w:ascii="Times New Roman" w:eastAsiaTheme="minorEastAsia"/>
          <w:sz w:val="24"/>
          <w:szCs w:val="24"/>
        </w:rPr>
        <w:t>——</w:t>
      </w:r>
      <w:r>
        <w:rPr>
          <w:rFonts w:hint="eastAsia" w:ascii="Times New Roman" w:eastAsiaTheme="minorEastAsia"/>
          <w:sz w:val="24"/>
          <w:szCs w:val="24"/>
        </w:rPr>
        <w:t>胎纹负荷能力，单位为吨（t），根据GB/T 2977、GB/T 2978或相关行业技术文件确定；</w:t>
      </w:r>
    </w:p>
    <w:p>
      <w:pPr>
        <w:pStyle w:val="23"/>
        <w:spacing w:line="360" w:lineRule="auto"/>
        <w:ind w:firstLine="480"/>
        <w:rPr>
          <w:rFonts w:ascii="Times New Roman" w:eastAsiaTheme="minorEastAsia"/>
          <w:sz w:val="24"/>
          <w:szCs w:val="24"/>
        </w:rPr>
      </w:pP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f</m:t>
            </m:r>
            <m:ctrlPr>
              <w:rPr>
                <w:rFonts w:ascii="DejaVu Math TeX Gyre" w:hAnsi="DejaVu Math TeX Gyre" w:eastAsiaTheme="minorEastAsia"/>
                <w:i/>
                <w:iCs/>
                <w:sz w:val="24"/>
                <w:szCs w:val="24"/>
              </w:rPr>
            </m:ctrlPr>
          </m:e>
          <m:sub>
            <m:r>
              <m:rPr/>
              <w:rPr>
                <w:rFonts w:ascii="Cambria Math" w:eastAsiaTheme="minorEastAsia"/>
                <w:sz w:val="24"/>
                <w:szCs w:val="24"/>
              </w:rPr>
              <m:t>H</m:t>
            </m:r>
            <m:ctrlPr>
              <w:rPr>
                <w:rFonts w:ascii="DejaVu Math TeX Gyre" w:hAnsi="DejaVu Math TeX Gyre" w:eastAsiaTheme="minorEastAsia"/>
                <w:i/>
                <w:iCs/>
                <w:sz w:val="24"/>
                <w:szCs w:val="24"/>
              </w:rPr>
            </m:ctrlPr>
          </m:sub>
        </m:sSub>
      </m:oMath>
      <w:r>
        <w:rPr>
          <w:rFonts w:ascii="Times New Roman" w:eastAsiaTheme="minorEastAsia"/>
          <w:sz w:val="24"/>
          <w:szCs w:val="24"/>
        </w:rPr>
        <w:t>——</w:t>
      </w:r>
      <w:r>
        <w:rPr>
          <w:rFonts w:hint="eastAsia" w:ascii="Times New Roman" w:eastAsiaTheme="minorEastAsia"/>
          <w:sz w:val="24"/>
          <w:szCs w:val="24"/>
        </w:rPr>
        <w:t>参考负荷比例，缺省值参见附录B。</w:t>
      </w:r>
    </w:p>
    <w:p>
      <w:pPr>
        <w:pStyle w:val="23"/>
        <w:spacing w:line="360" w:lineRule="auto"/>
        <w:ind w:firstLine="480"/>
        <w:rPr>
          <w:rFonts w:ascii="Times New Roman" w:eastAsiaTheme="minorEastAsia"/>
          <w:sz w:val="24"/>
          <w:szCs w:val="24"/>
        </w:rPr>
      </w:pPr>
    </w:p>
    <w:p>
      <w:pPr>
        <w:pStyle w:val="23"/>
        <w:spacing w:line="360" w:lineRule="auto"/>
        <w:ind w:firstLine="480"/>
        <w:rPr>
          <w:rFonts w:ascii="Times New Roman" w:eastAsiaTheme="minorEastAsia"/>
          <w:sz w:val="24"/>
          <w:szCs w:val="24"/>
        </w:rPr>
      </w:pPr>
      <w:r>
        <w:rPr>
          <w:rFonts w:ascii="Times New Roman" w:eastAsiaTheme="minorEastAsia"/>
          <w:sz w:val="24"/>
          <w:szCs w:val="24"/>
        </w:rPr>
        <w:t>由加速阻力（AR）造成的能量消耗</w:t>
      </w:r>
      <m:oMath>
        <m:sSub>
          <m:sSubPr>
            <m:ctrlPr>
              <w:rPr>
                <w:rFonts w:ascii="Cambria Math" w:hAnsi="Cambria Math" w:eastAsiaTheme="minorEastAsia"/>
                <w:i/>
                <w:sz w:val="24"/>
                <w:szCs w:val="24"/>
              </w:rPr>
            </m:ctrlPr>
          </m:sSubPr>
          <m:e>
            <m:r>
              <m:rPr>
                <m:nor/>
              </m:rPr>
              <w:rPr>
                <w:rFonts w:hint="eastAsia" w:ascii="Times New Roman" w:eastAsiaTheme="minorEastAsia"/>
                <w:i/>
                <w:sz w:val="24"/>
                <w:szCs w:val="24"/>
              </w:rPr>
              <m:t>E</m:t>
            </m:r>
            <m:ctrlPr>
              <w:rPr>
                <w:rFonts w:ascii="Cambria Math" w:hAnsi="Cambria Math" w:eastAsiaTheme="minorEastAsia"/>
                <w:i/>
                <w:sz w:val="24"/>
                <w:szCs w:val="24"/>
              </w:rPr>
            </m:ctrlPr>
          </m:e>
          <m:sub>
            <m:r>
              <m:rPr/>
              <w:rPr>
                <w:rFonts w:ascii="Cambria Math" w:hAnsi="Cambria Math" w:eastAsiaTheme="minorEastAsia"/>
                <w:sz w:val="24"/>
                <w:szCs w:val="24"/>
              </w:rPr>
              <m:t>AR</m:t>
            </m:r>
            <m:ctrlPr>
              <w:rPr>
                <w:rFonts w:ascii="Cambria Math" w:hAnsi="Cambria Math" w:eastAsiaTheme="minorEastAsia"/>
                <w:i/>
                <w:sz w:val="24"/>
                <w:szCs w:val="24"/>
              </w:rPr>
            </m:ctrlPr>
          </m:sub>
        </m:sSub>
      </m:oMath>
      <w:r>
        <w:rPr>
          <w:rFonts w:ascii="Times New Roman" w:eastAsiaTheme="minorEastAsia"/>
          <w:sz w:val="24"/>
          <w:szCs w:val="24"/>
        </w:rPr>
        <w:t>的计算公式如下：</w:t>
      </w:r>
    </w:p>
    <w:p>
      <w:pPr>
        <w:pStyle w:val="23"/>
        <w:spacing w:line="360" w:lineRule="auto"/>
        <w:ind w:firstLine="2280" w:firstLineChars="950"/>
        <w:rPr>
          <w:rFonts w:eastAsiaTheme="minorEastAsia"/>
          <w:sz w:val="24"/>
          <w:szCs w:val="24"/>
        </w:rPr>
      </w:pPr>
      <m:oMath>
        <m:sSub>
          <m:sSubPr>
            <m:ctrlPr>
              <w:rPr>
                <w:rFonts w:ascii="DejaVu Math TeX Gyre" w:hAnsi="DejaVu Math TeX Gyre" w:eastAsiaTheme="minorEastAsia"/>
                <w:i/>
                <w:iCs/>
                <w:sz w:val="24"/>
                <w:szCs w:val="24"/>
              </w:rPr>
            </m:ctrlPr>
          </m:sSubPr>
          <m:e>
            <m:r>
              <m:rPr/>
              <w:rPr>
                <w:rFonts w:ascii="Cambria Math" w:eastAsiaTheme="minorEastAsia"/>
                <w:sz w:val="24"/>
                <w:szCs w:val="24"/>
              </w:rPr>
              <m:t>E</m:t>
            </m:r>
            <m:ctrlPr>
              <w:rPr>
                <w:rFonts w:ascii="DejaVu Math TeX Gyre" w:hAnsi="DejaVu Math TeX Gyre" w:eastAsiaTheme="minorEastAsia"/>
                <w:i/>
                <w:iCs/>
                <w:sz w:val="24"/>
                <w:szCs w:val="24"/>
              </w:rPr>
            </m:ctrlPr>
          </m:e>
          <m:sub>
            <m:r>
              <m:rPr/>
              <w:rPr>
                <w:rFonts w:ascii="Cambria Math" w:eastAsiaTheme="minorEastAsia"/>
                <w:sz w:val="24"/>
                <w:szCs w:val="24"/>
              </w:rPr>
              <m:t>AR</m:t>
            </m:r>
            <m:ctrlPr>
              <w:rPr>
                <w:rFonts w:ascii="DejaVu Math TeX Gyre" w:hAnsi="DejaVu Math TeX Gyre" w:eastAsiaTheme="minorEastAsia"/>
                <w:i/>
                <w:iCs/>
                <w:sz w:val="24"/>
                <w:szCs w:val="24"/>
              </w:rPr>
            </m:ctrlPr>
          </m:sub>
        </m:sSub>
        <m:r>
          <m:rPr>
            <m:sty m:val="p"/>
          </m:rPr>
          <w:rPr>
            <w:rFonts w:ascii="Times New Roman" w:eastAsiaTheme="minorEastAsia"/>
            <w:sz w:val="24"/>
            <w:szCs w:val="24"/>
          </w:rPr>
          <m:t>=</m:t>
        </m:r>
        <m:r>
          <m:rPr/>
          <w:rPr>
            <w:rFonts w:ascii="Cambria Math" w:eastAsiaTheme="minorEastAsia"/>
            <w:sz w:val="24"/>
            <w:szCs w:val="24"/>
          </w:rPr>
          <m:t>I</m:t>
        </m:r>
        <m:r>
          <m:rPr>
            <m:sty m:val="p"/>
          </m:rPr>
          <w:rPr>
            <w:rFonts w:ascii="Times New Roman" w:eastAsiaTheme="minorEastAsia"/>
            <w:sz w:val="24"/>
            <w:szCs w:val="24"/>
          </w:rPr>
          <m:t>×</m:t>
        </m:r>
        <m:r>
          <m:rPr/>
          <w:rPr>
            <w:rFonts w:ascii="Cambria Math" w:eastAsiaTheme="minorEastAsia"/>
            <w:sz w:val="24"/>
            <w:szCs w:val="24"/>
          </w:rPr>
          <m:t>L</m:t>
        </m:r>
        <m:r>
          <m:rPr>
            <m:sty m:val="p"/>
          </m:rPr>
          <w:rPr>
            <w:rFonts w:ascii="Cambria Math" w:hAnsi="Cambria Math" w:eastAsiaTheme="minorEastAsia"/>
            <w:sz w:val="24"/>
            <w:szCs w:val="24"/>
          </w:rPr>
          <m:t>(</m:t>
        </m:r>
        <m:r>
          <m:rPr/>
          <w:rPr>
            <w:rFonts w:ascii="Cambria Math" w:eastAsiaTheme="minorEastAsia"/>
            <w:sz w:val="24"/>
            <w:szCs w:val="24"/>
          </w:rPr>
          <m:t>T</m:t>
        </m:r>
        <m:r>
          <m:rPr>
            <m:sty m:val="p"/>
          </m:rPr>
          <w:rPr>
            <w:rFonts w:ascii="Times New Roman" w:eastAsiaTheme="minorEastAsia"/>
            <w:sz w:val="24"/>
            <w:szCs w:val="24"/>
          </w:rPr>
          <m:t>+</m:t>
        </m:r>
        <m:d>
          <m:dPr>
            <m:ctrlPr>
              <w:rPr>
                <w:rFonts w:ascii="Cambria Math" w:hAnsi="Cambria Math" w:eastAsiaTheme="minorEastAsia"/>
                <w:sz w:val="24"/>
                <w:szCs w:val="24"/>
              </w:rPr>
            </m:ctrlPr>
          </m:dPr>
          <m:e>
            <m:r>
              <m:rPr>
                <m:sty m:val="p"/>
              </m:rPr>
              <w:rPr>
                <w:rFonts w:ascii="Times New Roman" w:eastAsiaTheme="minorEastAsia"/>
                <w:sz w:val="24"/>
                <w:szCs w:val="24"/>
              </w:rPr>
              <m:t>1−</m:t>
            </m:r>
            <m:r>
              <m:rPr/>
              <w:rPr>
                <w:rFonts w:ascii="Cambria Math" w:eastAsiaTheme="minorEastAsia"/>
                <w:sz w:val="24"/>
                <w:szCs w:val="24"/>
              </w:rPr>
              <m:t>T</m:t>
            </m:r>
            <m:ctrlPr>
              <w:rPr>
                <w:rFonts w:ascii="Cambria Math" w:hAnsi="Cambria Math" w:eastAsiaTheme="minorEastAsia"/>
                <w:sz w:val="24"/>
                <w:szCs w:val="24"/>
              </w:rPr>
            </m:ctrlPr>
          </m:e>
        </m:d>
        <m:sSub>
          <m:sSubPr>
            <m:ctrlPr>
              <w:rPr>
                <w:rFonts w:ascii="DejaVu Math TeX Gyre" w:hAnsi="DejaVu Math TeX Gyre" w:eastAsiaTheme="minorEastAsia"/>
                <w:sz w:val="24"/>
                <w:szCs w:val="24"/>
              </w:rPr>
            </m:ctrlPr>
          </m:sSubPr>
          <m:e>
            <m:r>
              <m:rPr>
                <m:sty m:val="p"/>
              </m:rPr>
              <w:rPr>
                <w:rFonts w:ascii="Cambria Math" w:hAnsi="Cambria Math"/>
                <w:sz w:val="24"/>
                <w:szCs w:val="24"/>
              </w:rPr>
              <m:t>×</m:t>
            </m:r>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3</m:t>
            </m:r>
            <m:ctrlPr>
              <w:rPr>
                <w:rFonts w:ascii="DejaVu Math TeX Gyre" w:hAnsi="DejaVu Math TeX Gyre" w:eastAsiaTheme="minorEastAsia"/>
                <w:sz w:val="24"/>
                <w:szCs w:val="24"/>
              </w:rPr>
            </m:ctrlPr>
          </m:sub>
        </m:sSub>
        <m:r>
          <m:rPr>
            <m:sty m:val="p"/>
          </m:rPr>
          <w:rPr>
            <w:rFonts w:ascii="Cambria Math" w:hAnsi="Cambria Math" w:eastAsiaTheme="minorEastAsia"/>
            <w:sz w:val="24"/>
            <w:szCs w:val="24"/>
          </w:rPr>
          <m:t>)</m:t>
        </m:r>
        <m:r>
          <m:rPr>
            <m:sty m:val="p"/>
          </m:rPr>
          <w:rPr>
            <w:rFonts w:ascii="Times New Roman" w:eastAsiaTheme="minorEastAsia"/>
            <w:sz w:val="24"/>
            <w:szCs w:val="24"/>
          </w:rPr>
          <m:t>/(1000</m:t>
        </m:r>
        <m:r>
          <m:rPr>
            <m:sty m:val="p"/>
          </m:rPr>
          <w:rPr>
            <w:rFonts w:ascii="Cambria Math" w:hAnsi="Cambria Math"/>
            <w:sz w:val="24"/>
            <w:szCs w:val="24"/>
          </w:rPr>
          <m:t>×</m:t>
        </m:r>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1</m:t>
            </m:r>
            <m:ctrlPr>
              <w:rPr>
                <w:rFonts w:ascii="DejaVu Math TeX Gyre" w:hAnsi="DejaVu Math TeX Gyre" w:eastAsiaTheme="minorEastAsia"/>
                <w:sz w:val="24"/>
                <w:szCs w:val="24"/>
              </w:rPr>
            </m:ctrlPr>
          </m:sub>
        </m:sSub>
        <m:r>
          <m:rPr>
            <m:sty m:val="p"/>
          </m:rPr>
          <w:rPr>
            <w:rFonts w:ascii="Cambria Math" w:hAnsi="Cambria Math"/>
            <w:sz w:val="24"/>
            <w:szCs w:val="24"/>
          </w:rPr>
          <m:t>×</m:t>
        </m:r>
        <m:sSub>
          <m:sSubPr>
            <m:ctrlPr>
              <w:rPr>
                <w:rFonts w:ascii="DejaVu Math TeX Gyre" w:hAnsi="DejaVu Math TeX Gyre" w:eastAsiaTheme="minorEastAsia"/>
                <w:sz w:val="24"/>
                <w:szCs w:val="24"/>
              </w:rPr>
            </m:ctrlPr>
          </m:sSubPr>
          <m:e>
            <m:r>
              <m:rPr/>
              <w:rPr>
                <w:rFonts w:ascii="Cambria Math" w:hAnsi="Cambria Math" w:eastAsiaTheme="minorEastAsia"/>
                <w:sz w:val="24"/>
                <w:szCs w:val="24"/>
              </w:rPr>
              <m:t>θ</m:t>
            </m:r>
            <m:ctrlPr>
              <w:rPr>
                <w:rFonts w:ascii="DejaVu Math TeX Gyre" w:hAnsi="DejaVu Math TeX Gyre" w:eastAsiaTheme="minorEastAsia"/>
                <w:sz w:val="24"/>
                <w:szCs w:val="24"/>
              </w:rPr>
            </m:ctrlPr>
          </m:e>
          <m:sub>
            <m:r>
              <m:rPr>
                <m:sty m:val="p"/>
              </m:rPr>
              <w:rPr>
                <w:rFonts w:ascii="Times New Roman" w:eastAsiaTheme="minorEastAsia"/>
                <w:sz w:val="24"/>
                <w:szCs w:val="24"/>
              </w:rPr>
              <m:t>2</m:t>
            </m:r>
            <m:ctrlPr>
              <w:rPr>
                <w:rFonts w:ascii="DejaVu Math TeX Gyre" w:hAnsi="DejaVu Math TeX Gyre" w:eastAsiaTheme="minorEastAsia"/>
                <w:sz w:val="24"/>
                <w:szCs w:val="24"/>
              </w:rPr>
            </m:ctrlPr>
          </m:sub>
        </m:sSub>
        <m:r>
          <m:rPr>
            <m:sty m:val="p"/>
          </m:rPr>
          <w:rPr>
            <w:rFonts w:ascii="Times New Roman" w:eastAsiaTheme="minorEastAsia"/>
            <w:sz w:val="24"/>
            <w:szCs w:val="24"/>
          </w:rPr>
          <m:t>)</m:t>
        </m:r>
      </m:oMath>
      <w:r>
        <w:rPr>
          <w:rFonts w:hint="eastAsia" w:eastAsiaTheme="minorEastAsia"/>
          <w:sz w:val="24"/>
          <w:szCs w:val="24"/>
        </w:rPr>
        <w:t xml:space="preserve">                </w:t>
      </w:r>
      <w:r>
        <w:rPr>
          <w:rFonts w:ascii="Times New Roman" w:eastAsiaTheme="minorEastAsia"/>
          <w:sz w:val="24"/>
          <w:szCs w:val="24"/>
        </w:rPr>
        <w:t>（9）</w:t>
      </w:r>
    </w:p>
    <w:p>
      <w:pPr>
        <w:pStyle w:val="23"/>
        <w:spacing w:line="360" w:lineRule="auto"/>
        <w:ind w:firstLine="480"/>
        <w:rPr>
          <w:rFonts w:ascii="Times New Roman" w:eastAsiaTheme="minorEastAsia"/>
          <w:sz w:val="24"/>
          <w:szCs w:val="24"/>
        </w:rPr>
      </w:pPr>
      <w:r>
        <w:rPr>
          <w:rFonts w:ascii="Times New Roman" w:eastAsiaTheme="minorEastAsia"/>
          <w:sz w:val="24"/>
          <w:szCs w:val="24"/>
        </w:rPr>
        <w:t>式中：</w:t>
      </w:r>
    </w:p>
    <w:p>
      <w:pPr>
        <w:pStyle w:val="23"/>
        <w:spacing w:line="360" w:lineRule="auto"/>
        <w:ind w:firstLine="480"/>
        <w:rPr>
          <w:rFonts w:ascii="Times New Roman" w:eastAsiaTheme="minorEastAsia"/>
          <w:sz w:val="24"/>
          <w:szCs w:val="24"/>
        </w:rPr>
      </w:pPr>
      <w:r>
        <w:rPr>
          <w:rFonts w:ascii="Times New Roman" w:eastAsiaTheme="minorEastAsia"/>
          <w:sz w:val="24"/>
          <w:szCs w:val="24"/>
        </w:rPr>
        <w:t>1000——单位转换系数；</w:t>
      </w:r>
    </w:p>
    <w:p>
      <w:pPr>
        <w:pStyle w:val="23"/>
        <w:spacing w:line="360" w:lineRule="auto"/>
        <w:ind w:firstLine="480"/>
        <w:rPr>
          <w:rFonts w:ascii="Times New Roman" w:eastAsiaTheme="minorEastAsia"/>
          <w:sz w:val="24"/>
          <w:szCs w:val="24"/>
        </w:rPr>
      </w:pPr>
      <w:r>
        <w:rPr>
          <w:rFonts w:ascii="Times New Roman" w:eastAsiaTheme="minorEastAsia"/>
          <w:i/>
          <w:iCs/>
          <w:sz w:val="24"/>
          <w:szCs w:val="24"/>
        </w:rPr>
        <w:t>I</w:t>
      </w:r>
      <w:r>
        <w:rPr>
          <w:rFonts w:ascii="Times New Roman" w:eastAsiaTheme="minorEastAsia"/>
          <w:sz w:val="24"/>
          <w:szCs w:val="24"/>
        </w:rPr>
        <w:t>——轮胎惯性力，单位为牛顿（N），应按式（10）进行计算：</w:t>
      </w:r>
    </w:p>
    <w:p>
      <w:pPr>
        <w:pStyle w:val="23"/>
        <w:spacing w:line="360" w:lineRule="auto"/>
        <w:ind w:firstLine="2280" w:firstLineChars="950"/>
        <w:rPr>
          <w:rFonts w:ascii="Cambria Math" w:hAnsi="Cambria Math" w:cs="DejaVu Math TeX Gyre" w:eastAsiaTheme="minorEastAsia"/>
          <w:sz w:val="24"/>
          <w:szCs w:val="24"/>
        </w:rPr>
      </w:pPr>
      <m:oMath>
        <m:r>
          <m:rPr/>
          <w:rPr>
            <w:rFonts w:ascii="Cambria Math" w:hAnsi="Cambria Math" w:eastAsiaTheme="minorEastAsia"/>
            <w:sz w:val="24"/>
            <w:szCs w:val="24"/>
          </w:rPr>
          <m:t>I=</m:t>
        </m:r>
        <m:r>
          <m:rPr>
            <m:sty m:val="p"/>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w:rPr>
                <w:rFonts w:ascii="Cambria Math" w:hAnsi="Cambria Math" w:eastAsiaTheme="minorEastAsia"/>
                <w:sz w:val="24"/>
                <w:szCs w:val="24"/>
              </w:rPr>
              <m:t>M</m:t>
            </m:r>
            <m:ctrlPr>
              <w:rPr>
                <w:rFonts w:ascii="Cambria Math" w:hAnsi="Cambria Math" w:eastAsiaTheme="minorEastAsia"/>
                <w:i/>
                <w:sz w:val="24"/>
                <w:szCs w:val="24"/>
              </w:rPr>
            </m:ctrlPr>
          </m:e>
          <m:sub>
            <m:r>
              <m:rPr/>
              <w:rPr>
                <w:rFonts w:ascii="Cambria Math" w:hAnsi="Cambria Math" w:eastAsiaTheme="minorEastAsia"/>
                <w:sz w:val="24"/>
                <w:szCs w:val="24"/>
              </w:rPr>
              <m:t>Tyre</m:t>
            </m:r>
            <m:ctrlPr>
              <w:rPr>
                <w:rFonts w:ascii="Cambria Math" w:hAnsi="Cambria Math" w:eastAsiaTheme="minorEastAsia"/>
                <w:i/>
                <w:sz w:val="24"/>
                <w:szCs w:val="24"/>
              </w:rPr>
            </m:ctrlPr>
          </m:sub>
        </m:sSub>
        <m:r>
          <m:rPr/>
          <w:rPr>
            <w:rFonts w:ascii="Cambria Math" w:hAnsi="Cambria Math" w:eastAsiaTheme="minorEastAsia"/>
            <w:sz w:val="24"/>
            <w:szCs w:val="24"/>
          </w:rPr>
          <m:t>−0.5</m:t>
        </m:r>
        <m:sSub>
          <m:sSubPr>
            <m:ctrlPr>
              <w:rPr>
                <w:rFonts w:ascii="Cambria Math" w:hAnsi="Cambria Math" w:eastAsiaTheme="minorEastAsia"/>
                <w:i/>
                <w:sz w:val="24"/>
                <w:szCs w:val="24"/>
              </w:rPr>
            </m:ctrlPr>
          </m:sSubPr>
          <m:e>
            <m:r>
              <m:rPr/>
              <w:rPr>
                <w:rFonts w:ascii="Cambria Math" w:hAnsi="Cambria Math" w:eastAsiaTheme="minorEastAsia"/>
                <w:sz w:val="24"/>
                <w:szCs w:val="24"/>
              </w:rPr>
              <m:t>M</m:t>
            </m:r>
            <m:ctrlPr>
              <w:rPr>
                <w:rFonts w:ascii="Cambria Math" w:hAnsi="Cambria Math" w:eastAsiaTheme="minorEastAsia"/>
                <w:i/>
                <w:sz w:val="24"/>
                <w:szCs w:val="24"/>
              </w:rPr>
            </m:ctrlPr>
          </m:e>
          <m:sub>
            <m:r>
              <m:rPr/>
              <w:rPr>
                <w:rFonts w:ascii="Cambria Math" w:hAnsi="Cambria Math" w:eastAsiaTheme="minorEastAsia"/>
                <w:sz w:val="24"/>
                <w:szCs w:val="24"/>
              </w:rPr>
              <m:t>Tyreloss</m:t>
            </m:r>
            <m:ctrlPr>
              <w:rPr>
                <w:rFonts w:ascii="Cambria Math" w:hAnsi="Cambria Math" w:eastAsiaTheme="minorEastAsia"/>
                <w:i/>
                <w:sz w:val="24"/>
                <w:szCs w:val="24"/>
              </w:rPr>
            </m:ctrlPr>
          </m:sub>
        </m:sSub>
        <m:r>
          <m:rPr/>
          <w:rPr>
            <w:rFonts w:ascii="Cambria Math" w:hAnsi="Cambria Math" w:eastAsiaTheme="minorEastAsia"/>
            <w:sz w:val="24"/>
            <w:szCs w:val="24"/>
          </w:rPr>
          <m:t>+4×</m:t>
        </m:r>
        <m:sSup>
          <m:sSupPr>
            <m:ctrlPr>
              <w:rPr>
                <w:rFonts w:ascii="Cambria Math" w:hAnsi="Cambria Math" w:eastAsiaTheme="minorEastAsia"/>
                <w:i/>
                <w:sz w:val="24"/>
                <w:szCs w:val="24"/>
              </w:rPr>
            </m:ctrlPr>
          </m:sSupPr>
          <m:e>
            <m:r>
              <m:rPr/>
              <w:rPr>
                <w:rFonts w:ascii="Cambria Math" w:hAnsi="Cambria Math" w:eastAsiaTheme="minorEastAsia"/>
                <w:sz w:val="24"/>
                <w:szCs w:val="24"/>
              </w:rPr>
              <m:t>10</m:t>
            </m:r>
            <m:ctrlPr>
              <w:rPr>
                <w:rFonts w:ascii="Cambria Math" w:hAnsi="Cambria Math" w:eastAsiaTheme="minorEastAsia"/>
                <w:i/>
                <w:sz w:val="24"/>
                <w:szCs w:val="24"/>
              </w:rPr>
            </m:ctrlPr>
          </m:e>
          <m:sup>
            <m:r>
              <m:rPr/>
              <w:rPr>
                <w:rFonts w:ascii="Cambria Math" w:hAnsi="Cambria Math" w:eastAsiaTheme="minorEastAsia"/>
                <w:sz w:val="24"/>
                <w:szCs w:val="24"/>
              </w:rPr>
              <m:t>6</m:t>
            </m:r>
            <m:ctrlPr>
              <w:rPr>
                <w:rFonts w:ascii="Cambria Math" w:hAnsi="Cambria Math" w:eastAsiaTheme="minorEastAsia"/>
                <w:i/>
                <w:sz w:val="24"/>
                <w:szCs w:val="24"/>
              </w:rPr>
            </m:ctrlPr>
          </m:sup>
        </m:sSup>
        <m:r>
          <m:rPr/>
          <w:rPr>
            <w:rFonts w:ascii="Cambria Math" w:hAnsi="Cambria Math" w:eastAsiaTheme="minorEastAsia"/>
            <w:sz w:val="24"/>
            <w:szCs w:val="24"/>
          </w:rPr>
          <m:t>×</m:t>
        </m:r>
        <m:f>
          <m:fPr>
            <m:ctrlPr>
              <w:rPr>
                <w:rFonts w:ascii="Cambria Math" w:hAnsi="Cambria Math" w:eastAsiaTheme="minorEastAsia"/>
                <w:i/>
                <w:sz w:val="24"/>
                <w:szCs w:val="24"/>
              </w:rPr>
            </m:ctrlPr>
          </m:fPr>
          <m:num>
            <m:r>
              <m:rPr/>
              <w:rPr>
                <w:rFonts w:ascii="Cambria Math" w:hAnsi="Cambria Math" w:eastAsiaTheme="minorEastAsia"/>
                <w:sz w:val="24"/>
                <w:szCs w:val="24"/>
              </w:rPr>
              <m:t>IM</m:t>
            </m:r>
            <m:ctrlPr>
              <w:rPr>
                <w:rFonts w:ascii="Cambria Math" w:hAnsi="Cambria Math" w:eastAsiaTheme="minorEastAsia"/>
                <w:i/>
                <w:sz w:val="24"/>
                <w:szCs w:val="24"/>
              </w:rPr>
            </m:ctrlPr>
          </m:num>
          <m:den>
            <m:sSup>
              <m:sSupPr>
                <m:ctrlPr>
                  <w:rPr>
                    <w:rFonts w:ascii="Cambria Math" w:hAnsi="Cambria Math" w:eastAsiaTheme="minorEastAsia"/>
                    <w:i/>
                    <w:sz w:val="24"/>
                    <w:szCs w:val="24"/>
                  </w:rPr>
                </m:ctrlPr>
              </m:sSupPr>
              <m:e>
                <m:r>
                  <m:rPr/>
                  <w:rPr>
                    <w:rFonts w:ascii="Cambria Math" w:hAnsi="Cambria Math" w:eastAsiaTheme="minorEastAsia"/>
                    <w:sz w:val="24"/>
                    <w:szCs w:val="24"/>
                  </w:rPr>
                  <m:t>OD</m:t>
                </m:r>
                <m:ctrlPr>
                  <w:rPr>
                    <w:rFonts w:ascii="Cambria Math" w:hAnsi="Cambria Math" w:eastAsiaTheme="minorEastAsia"/>
                    <w:i/>
                    <w:sz w:val="24"/>
                    <w:szCs w:val="24"/>
                  </w:rPr>
                </m:ctrlPr>
              </m:e>
              <m:sup>
                <m:r>
                  <m:rPr/>
                  <w:rPr>
                    <w:rFonts w:ascii="Cambria Math" w:hAnsi="Cambria Math" w:eastAsiaTheme="minorEastAsia"/>
                    <w:sz w:val="24"/>
                    <w:szCs w:val="24"/>
                  </w:rPr>
                  <m:t>2</m:t>
                </m:r>
                <m:ctrlPr>
                  <w:rPr>
                    <w:rFonts w:ascii="Cambria Math" w:hAnsi="Cambria Math" w:eastAsiaTheme="minorEastAsia"/>
                    <w:i/>
                    <w:sz w:val="24"/>
                    <w:szCs w:val="24"/>
                  </w:rPr>
                </m:ctrlPr>
              </m:sup>
            </m:sSup>
            <m:ctrlPr>
              <w:rPr>
                <w:rFonts w:ascii="Cambria Math" w:hAnsi="Cambria Math" w:eastAsiaTheme="minorEastAsia"/>
                <w:i/>
                <w:sz w:val="24"/>
                <w:szCs w:val="24"/>
              </w:rPr>
            </m:ctrlPr>
          </m:den>
        </m:f>
        <m:r>
          <m:rPr>
            <m:sty m:val="p"/>
          </m:rPr>
          <w:rPr>
            <w:rFonts w:ascii="Cambria Math" w:hAnsi="Cambria Math" w:eastAsiaTheme="minorEastAsia"/>
            <w:sz w:val="24"/>
            <w:szCs w:val="24"/>
          </w:rPr>
          <m:t>）</m:t>
        </m:r>
        <m:r>
          <m:rPr/>
          <w:rPr>
            <w:rFonts w:ascii="Cambria Math" w:hAnsi="Cambria Math" w:cs="DejaVu Math TeX Gyre" w:eastAsiaTheme="minorEastAsia"/>
            <w:sz w:val="24"/>
            <w:szCs w:val="24"/>
          </w:rPr>
          <m:t>Y</m:t>
        </m:r>
      </m:oMath>
      <w:r>
        <w:rPr>
          <w:rFonts w:hint="eastAsia" w:ascii="Cambria Math" w:hAnsi="Cambria Math" w:cs="DejaVu Math TeX Gyre" w:eastAsiaTheme="minorEastAsia"/>
          <w:sz w:val="24"/>
          <w:szCs w:val="24"/>
        </w:rPr>
        <w:t xml:space="preserve">               </w:t>
      </w:r>
      <w:r>
        <w:rPr>
          <w:rFonts w:ascii="Times New Roman" w:eastAsiaTheme="minorEastAsia"/>
          <w:sz w:val="24"/>
          <w:szCs w:val="24"/>
        </w:rPr>
        <w:t>（10）</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式中</w:t>
      </w:r>
      <w:r>
        <w:rPr>
          <w:rFonts w:ascii="Times New Roman" w:eastAsiaTheme="minorEastAsia"/>
          <w:sz w:val="24"/>
          <w:szCs w:val="24"/>
        </w:rPr>
        <w:t>：</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M</m:t>
            </m:r>
            <m:ctrlPr>
              <w:rPr>
                <w:rFonts w:ascii="Cambria Math" w:hAnsi="Cambria Math" w:eastAsiaTheme="minorEastAsia"/>
                <w:i/>
                <w:sz w:val="24"/>
                <w:szCs w:val="24"/>
              </w:rPr>
            </m:ctrlPr>
          </m:e>
          <m:sub>
            <m:r>
              <m:rPr/>
              <w:rPr>
                <w:rFonts w:ascii="Cambria Math" w:hAnsi="Cambria Math" w:eastAsiaTheme="minorEastAsia"/>
                <w:sz w:val="24"/>
                <w:szCs w:val="24"/>
              </w:rPr>
              <m:t>Tyre</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轮胎重量，单位为千克（kg）；</w:t>
      </w:r>
    </w:p>
    <w:p>
      <w:pPr>
        <w:pStyle w:val="23"/>
        <w:spacing w:line="360" w:lineRule="auto"/>
        <w:ind w:firstLine="480"/>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M</m:t>
            </m:r>
            <m:ctrlPr>
              <w:rPr>
                <w:rFonts w:ascii="Cambria Math" w:hAnsi="Cambria Math" w:eastAsiaTheme="minorEastAsia"/>
                <w:i/>
                <w:sz w:val="24"/>
                <w:szCs w:val="24"/>
              </w:rPr>
            </m:ctrlPr>
          </m:e>
          <m:sub>
            <m:r>
              <m:rPr/>
              <w:rPr>
                <w:rFonts w:ascii="Cambria Math" w:hAnsi="Cambria Math" w:eastAsiaTheme="minorEastAsia"/>
                <w:sz w:val="24"/>
                <w:szCs w:val="24"/>
              </w:rPr>
              <m:t>Tyreloss</m:t>
            </m:r>
            <m:ctrlPr>
              <w:rPr>
                <w:rFonts w:ascii="Cambria Math" w:hAnsi="Cambria Math" w:eastAsiaTheme="minorEastAsia"/>
                <w:i/>
                <w:sz w:val="24"/>
                <w:szCs w:val="24"/>
              </w:rPr>
            </m:ctrlPr>
          </m:sub>
        </m:sSub>
      </m:oMath>
      <w:r>
        <w:rPr>
          <w:rFonts w:ascii="Times New Roman" w:eastAsiaTheme="minorEastAsia"/>
          <w:sz w:val="24"/>
          <w:szCs w:val="24"/>
        </w:rPr>
        <w:t>——</w:t>
      </w:r>
      <w:r>
        <w:rPr>
          <w:rFonts w:hint="eastAsia" w:ascii="Times New Roman" w:eastAsiaTheme="minorEastAsia"/>
          <w:sz w:val="24"/>
          <w:szCs w:val="24"/>
        </w:rPr>
        <w:t>轮胎生命周期由于和地面磨损造成的质量损失，取轮胎磨损到胎面磨耗标志时的质量相对于新轮胎的减少量，单位为千克（kg）</w:t>
      </w:r>
      <w:r>
        <w:rPr>
          <w:rFonts w:ascii="Times New Roman" w:eastAsiaTheme="minorEastAsia"/>
          <w:sz w:val="24"/>
          <w:szCs w:val="24"/>
        </w:rPr>
        <w:t>，轮胎生命周期由于和地面磨损造成的质量损失可通过测试、经验公式或仿真计算得到，其来源需要说明出处</w:t>
      </w:r>
      <w:r>
        <w:rPr>
          <w:rFonts w:hint="eastAsia" w:ascii="Times New Roman" w:eastAsiaTheme="minorEastAsia"/>
          <w:sz w:val="24"/>
          <w:szCs w:val="24"/>
        </w:rPr>
        <w:t>；</w:t>
      </w:r>
    </w:p>
    <w:p>
      <w:pPr>
        <w:pStyle w:val="23"/>
        <w:spacing w:line="360" w:lineRule="auto"/>
        <w:ind w:firstLine="480"/>
        <w:rPr>
          <w:rFonts w:ascii="Times New Roman" w:eastAsiaTheme="minorEastAsia"/>
          <w:sz w:val="24"/>
          <w:szCs w:val="24"/>
        </w:rPr>
      </w:pPr>
      <m:oMath>
        <m:r>
          <m:rPr/>
          <w:rPr>
            <w:rFonts w:ascii="Cambria Math" w:hAnsi="Cambria Math" w:eastAsiaTheme="minorEastAsia"/>
            <w:sz w:val="24"/>
            <w:szCs w:val="24"/>
          </w:rPr>
          <m:t>OD</m:t>
        </m:r>
      </m:oMath>
      <w:r>
        <w:rPr>
          <w:rFonts w:ascii="Times New Roman" w:eastAsiaTheme="minorEastAsia"/>
          <w:sz w:val="24"/>
          <w:szCs w:val="24"/>
        </w:rPr>
        <w:t>——</w:t>
      </w:r>
      <w:r>
        <w:rPr>
          <w:rFonts w:hint="eastAsia" w:ascii="Times New Roman" w:eastAsiaTheme="minorEastAsia"/>
          <w:sz w:val="24"/>
          <w:szCs w:val="24"/>
        </w:rPr>
        <w:t>新胎设计外直径，单位为毫米（mm），根据GB/T 2977、GB/T 2978或相关行业技术文件确定；</w:t>
      </w:r>
    </w:p>
    <w:p>
      <w:pPr>
        <w:pStyle w:val="23"/>
        <w:spacing w:line="360" w:lineRule="auto"/>
        <w:ind w:firstLine="480"/>
        <w:rPr>
          <w:rFonts w:ascii="Times New Roman" w:eastAsiaTheme="minorEastAsia"/>
          <w:sz w:val="24"/>
          <w:szCs w:val="24"/>
        </w:rPr>
      </w:pPr>
      <m:oMath>
        <m:r>
          <m:rPr/>
          <w:rPr>
            <w:rFonts w:ascii="Cambria Math" w:hAnsi="Cambria Math" w:cs="DejaVu Math TeX Gyre" w:eastAsiaTheme="minorEastAsia"/>
            <w:sz w:val="24"/>
            <w:szCs w:val="24"/>
          </w:rPr>
          <m:t>Y</m:t>
        </m:r>
      </m:oMath>
      <w:r>
        <w:rPr>
          <w:rFonts w:ascii="Times New Roman" w:eastAsiaTheme="minorEastAsia"/>
          <w:sz w:val="24"/>
          <w:szCs w:val="24"/>
        </w:rPr>
        <w:t>——</w:t>
      </w:r>
      <w:r>
        <w:rPr>
          <w:rFonts w:hint="eastAsia" w:ascii="Times New Roman" w:eastAsiaTheme="minorEastAsia"/>
          <w:sz w:val="24"/>
          <w:szCs w:val="24"/>
        </w:rPr>
        <w:t>车辆驾驶工况相对正加速度，描述工况曲线动力需求的特征参数，单位为m/s</w:t>
      </w:r>
      <w:r>
        <w:rPr>
          <w:rFonts w:hint="eastAsia" w:ascii="Times New Roman" w:eastAsiaTheme="minorEastAsia"/>
          <w:sz w:val="24"/>
          <w:szCs w:val="24"/>
          <w:vertAlign w:val="superscript"/>
        </w:rPr>
        <w:t>2</w:t>
      </w:r>
      <w:r>
        <w:rPr>
          <w:rFonts w:hint="eastAsia" w:ascii="Times New Roman" w:eastAsiaTheme="minorEastAsia"/>
          <w:sz w:val="24"/>
          <w:szCs w:val="24"/>
        </w:rPr>
        <w:t>。按照GB/T 38146.1计算，缺省值参见附录B；</w:t>
      </w:r>
    </w:p>
    <w:p>
      <w:pPr>
        <w:pStyle w:val="23"/>
        <w:spacing w:line="360" w:lineRule="auto"/>
        <w:ind w:firstLine="480"/>
        <w:rPr>
          <w:rFonts w:ascii="Times New Roman" w:eastAsiaTheme="minorEastAsia"/>
          <w:sz w:val="24"/>
          <w:szCs w:val="24"/>
        </w:rPr>
      </w:pPr>
      <w:r>
        <w:rPr>
          <w:rFonts w:hint="eastAsia" w:ascii="Times New Roman" w:eastAsiaTheme="minorEastAsia"/>
          <w:sz w:val="24"/>
          <w:szCs w:val="24"/>
        </w:rPr>
        <w:t>10</w:t>
      </w:r>
      <w:r>
        <w:rPr>
          <w:rFonts w:hint="eastAsia" w:ascii="Times New Roman" w:eastAsiaTheme="minorEastAsia"/>
          <w:sz w:val="24"/>
          <w:szCs w:val="24"/>
          <w:vertAlign w:val="superscript"/>
        </w:rPr>
        <w:t>6</w:t>
      </w:r>
      <w:r>
        <w:rPr>
          <w:rFonts w:ascii="Times New Roman" w:eastAsiaTheme="minorEastAsia"/>
          <w:sz w:val="24"/>
          <w:szCs w:val="24"/>
        </w:rPr>
        <w:t>——</w:t>
      </w:r>
      <w:r>
        <w:rPr>
          <w:rFonts w:hint="eastAsia" w:ascii="Times New Roman" w:eastAsiaTheme="minorEastAsia"/>
          <w:sz w:val="24"/>
          <w:szCs w:val="24"/>
        </w:rPr>
        <w:t>单位转换系数；</w:t>
      </w:r>
    </w:p>
    <w:p>
      <w:pPr>
        <w:pStyle w:val="23"/>
        <w:spacing w:line="360" w:lineRule="auto"/>
        <w:ind w:firstLine="480"/>
        <w:rPr>
          <w:rFonts w:ascii="Times New Roman" w:eastAsiaTheme="minorEastAsia"/>
          <w:sz w:val="24"/>
          <w:szCs w:val="24"/>
        </w:rPr>
      </w:pPr>
      <w:r>
        <w:rPr>
          <w:rFonts w:hint="eastAsia" w:ascii="Times New Roman" w:eastAsiaTheme="minorEastAsia"/>
          <w:i/>
          <w:iCs/>
          <w:sz w:val="24"/>
          <w:szCs w:val="24"/>
        </w:rPr>
        <w:t>IM</w:t>
      </w:r>
      <w:r>
        <w:rPr>
          <w:rFonts w:ascii="Times New Roman" w:eastAsiaTheme="minorEastAsia"/>
          <w:sz w:val="24"/>
          <w:szCs w:val="24"/>
        </w:rPr>
        <w:t>——</w:t>
      </w:r>
      <w:r>
        <w:rPr>
          <w:rFonts w:hint="eastAsia" w:ascii="Times New Roman" w:eastAsiaTheme="minorEastAsia"/>
          <w:sz w:val="24"/>
          <w:szCs w:val="24"/>
        </w:rPr>
        <w:t>轮胎惯性转矩，单位为千克平方米（kg·m</w:t>
      </w:r>
      <w:r>
        <w:rPr>
          <w:rFonts w:hint="eastAsia" w:ascii="Times New Roman" w:eastAsiaTheme="minorEastAsia"/>
          <w:sz w:val="24"/>
          <w:szCs w:val="24"/>
          <w:vertAlign w:val="superscript"/>
        </w:rPr>
        <w:t>2</w:t>
      </w:r>
      <w:r>
        <w:rPr>
          <w:rFonts w:hint="eastAsia" w:ascii="Times New Roman" w:eastAsiaTheme="minorEastAsia"/>
          <w:sz w:val="24"/>
          <w:szCs w:val="24"/>
        </w:rPr>
        <w:t>），</w:t>
      </w:r>
      <w:r>
        <w:rPr>
          <w:rFonts w:ascii="Times New Roman" w:eastAsiaTheme="minorEastAsia"/>
          <w:sz w:val="24"/>
          <w:szCs w:val="24"/>
        </w:rPr>
        <w:t>优先采用</w:t>
      </w:r>
      <w:r>
        <w:rPr>
          <w:rFonts w:hint="eastAsia" w:ascii="Times New Roman" w:eastAsiaTheme="minorEastAsia"/>
          <w:sz w:val="24"/>
          <w:szCs w:val="24"/>
        </w:rPr>
        <w:t>场地值</w:t>
      </w:r>
      <w:r>
        <w:rPr>
          <w:rFonts w:ascii="Times New Roman" w:eastAsiaTheme="minorEastAsia"/>
          <w:sz w:val="24"/>
          <w:szCs w:val="24"/>
        </w:rPr>
        <w:t>，其它来源需要说明出处。</w:t>
      </w:r>
    </w:p>
    <w:p>
      <w:pPr>
        <w:pStyle w:val="23"/>
        <w:numPr>
          <w:ilvl w:val="0"/>
          <w:numId w:val="4"/>
        </w:numPr>
        <w:spacing w:line="360" w:lineRule="auto"/>
        <w:ind w:firstLineChars="0"/>
        <w:rPr>
          <w:rFonts w:ascii="Times New Roman" w:eastAsiaTheme="minorEastAsia"/>
          <w:sz w:val="24"/>
          <w:szCs w:val="24"/>
        </w:rPr>
      </w:pPr>
      <w:r>
        <w:rPr>
          <w:rFonts w:ascii="Times New Roman" w:eastAsiaTheme="minorEastAsia"/>
          <w:sz w:val="24"/>
          <w:szCs w:val="24"/>
        </w:rPr>
        <w:t>应用于燃用汽油、柴油或其他单一燃料汽车场景</w:t>
      </w:r>
    </w:p>
    <w:p>
      <w:pPr>
        <w:pStyle w:val="23"/>
        <w:spacing w:line="360" w:lineRule="auto"/>
        <w:ind w:firstLine="480"/>
        <w:rPr>
          <w:rFonts w:eastAsiaTheme="minorEastAsia"/>
          <w:sz w:val="24"/>
          <w:szCs w:val="24"/>
        </w:rPr>
      </w:pPr>
      <w:r>
        <w:rPr>
          <w:rFonts w:ascii="Times New Roman" w:eastAsiaTheme="minorEastAsia"/>
          <w:sz w:val="24"/>
          <w:szCs w:val="24"/>
        </w:rPr>
        <w:t>当雪地轮胎产品应用于燃用汽油、柴油或其他单一燃料汽车时，使用阶段应根据式（11）计算由于雪地轮胎产品使用产生的能量消耗带来的温室气体排放：</w:t>
      </w:r>
    </w:p>
    <w:p>
      <w:pPr>
        <w:pStyle w:val="23"/>
        <w:spacing w:line="360" w:lineRule="auto"/>
        <w:ind w:firstLine="1320" w:firstLineChars="550"/>
        <w:rPr>
          <w:rFonts w:ascii="Times New Roman" w:eastAsiaTheme="minorEastAsia"/>
          <w:sz w:val="24"/>
          <w:szCs w:val="24"/>
        </w:rPr>
      </w:pPr>
      <m:oMath>
        <m:r>
          <m:rPr/>
          <w:rPr>
            <w:rFonts w:ascii="Cambria Math" w:hAnsi="Cambria Math" w:eastAsiaTheme="minorEastAsia"/>
            <w:sz w:val="24"/>
            <w:szCs w:val="24"/>
          </w:rPr>
          <m:t xml:space="preserve"> </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使用</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ascii="Times New Roman" w:eastAsiaTheme="minorEastAsia"/>
                <w:i/>
                <w:iCs/>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RR</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ascii="Times New Roman" w:eastAsiaTheme="minorEastAsia"/>
                <w:i/>
                <w:iCs/>
                <w:sz w:val="24"/>
                <w:szCs w:val="24"/>
              </w:rPr>
              <m:t>E</m:t>
            </m:r>
            <m:ctrlPr>
              <w:rPr>
                <w:rFonts w:ascii="Cambria Math" w:hAnsi="Cambria Math" w:eastAsiaTheme="minorEastAsia"/>
                <w:i/>
                <w:iCs/>
                <w:sz w:val="24"/>
                <w:szCs w:val="24"/>
              </w:rPr>
            </m:ctrlPr>
          </m:e>
          <m:sub>
            <m:r>
              <m:rPr/>
              <w:rPr>
                <w:rFonts w:ascii="Cambria Math" w:hAnsi="Cambria Math" w:eastAsiaTheme="minorEastAsia"/>
                <w:sz w:val="24"/>
                <w:szCs w:val="24"/>
              </w:rPr>
              <m:t>AR</m:t>
            </m:r>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ascii="Times New Roman" w:eastAsiaTheme="minorEastAsia"/>
                <w:i/>
                <w:iCs/>
                <w:sz w:val="24"/>
                <w:szCs w:val="24"/>
              </w:rPr>
              <m:t>EF</m:t>
            </m:r>
            <m:ctrlPr>
              <w:rPr>
                <w:rFonts w:ascii="Cambria Math" w:hAnsi="Cambria Math" w:eastAsiaTheme="minorEastAsia"/>
                <w:i/>
                <w:iCs/>
                <w:sz w:val="24"/>
                <w:szCs w:val="24"/>
              </w:rPr>
            </m:ctrlPr>
          </m:e>
          <m:sub>
            <m:r>
              <m:rPr/>
              <w:rPr>
                <w:rFonts w:ascii="Cambria Math" w:hAnsi="Cambria Math" w:eastAsiaTheme="minorEastAsia"/>
                <w:sz w:val="24"/>
                <w:szCs w:val="24"/>
              </w:rPr>
              <m:t>f</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ascii="Times New Roman" w:eastAsiaTheme="minorEastAsia"/>
                <w:i/>
                <w:iCs/>
                <w:sz w:val="24"/>
                <w:szCs w:val="24"/>
              </w:rPr>
              <m:t>K</m:t>
            </m:r>
            <m:ctrlPr>
              <w:rPr>
                <w:rFonts w:ascii="Cambria Math" w:hAnsi="Cambria Math" w:eastAsiaTheme="minorEastAsia"/>
                <w:i/>
                <w:iCs/>
                <w:sz w:val="24"/>
                <w:szCs w:val="24"/>
              </w:rPr>
            </m:ctrlPr>
          </m:e>
          <m:sub>
            <m:sSub>
              <m:sSubPr>
                <m:ctrlPr>
                  <w:rPr>
                    <w:rFonts w:ascii="Cambria Math" w:hAnsi="Cambria Math" w:eastAsiaTheme="minorEastAsia"/>
                    <w:i/>
                    <w:sz w:val="24"/>
                    <w:szCs w:val="24"/>
                  </w:rPr>
                </m:ctrlPr>
              </m:sSubPr>
              <m:e>
                <m:r>
                  <m:rPr/>
                  <w:rPr>
                    <w:rFonts w:ascii="Cambria Math" w:hAnsi="Cambria Math" w:eastAsiaTheme="minorEastAsia"/>
                    <w:sz w:val="24"/>
                    <w:szCs w:val="24"/>
                  </w:rPr>
                  <m:t>CO</m:t>
                </m:r>
                <m:ctrlPr>
                  <w:rPr>
                    <w:rFonts w:ascii="Cambria Math" w:hAnsi="Cambria Math" w:eastAsiaTheme="minorEastAsia"/>
                    <w:i/>
                    <w:sz w:val="24"/>
                    <w:szCs w:val="24"/>
                  </w:rPr>
                </m:ctrlPr>
              </m:e>
              <m:sub>
                <m:r>
                  <m:rPr/>
                  <w:rPr>
                    <w:rFonts w:ascii="Cambria Math" w:hAnsi="Cambria Math" w:eastAsiaTheme="minorEastAsia"/>
                    <w:sz w:val="24"/>
                    <w:szCs w:val="24"/>
                  </w:rPr>
                  <m:t>2</m:t>
                </m:r>
                <m:ctrlPr>
                  <w:rPr>
                    <w:rFonts w:ascii="Cambria Math" w:hAnsi="Cambria Math" w:eastAsiaTheme="minorEastAsia"/>
                    <w:i/>
                    <w:sz w:val="24"/>
                    <w:szCs w:val="24"/>
                  </w:rPr>
                </m:ctrlPr>
              </m:sub>
            </m:sSub>
            <m:ctrlPr>
              <w:rPr>
                <w:rFonts w:ascii="Cambria Math" w:hAnsi="Cambria Math" w:eastAsiaTheme="minorEastAsia"/>
                <w:i/>
                <w:iCs/>
                <w:sz w:val="24"/>
                <w:szCs w:val="24"/>
              </w:rPr>
            </m:ctrlPr>
          </m:sub>
        </m:sSub>
        <m:r>
          <m:rPr>
            <m:sty m:val="p"/>
          </m:rPr>
          <w:rPr>
            <w:rFonts w:ascii="Cambria Math" w:hAnsi="Cambria Math" w:eastAsiaTheme="minorEastAsia"/>
            <w:sz w:val="24"/>
            <w:szCs w:val="24"/>
          </w:rPr>
          <m:t>/</m:t>
        </m:r>
        <m:r>
          <m:rPr/>
          <w:rPr>
            <w:rFonts w:ascii="Cambria Math" w:hAnsi="Cambria Math" w:eastAsiaTheme="minorEastAsia"/>
            <w:sz w:val="24"/>
            <w:szCs w:val="24"/>
          </w:rPr>
          <m:t>ρ</m:t>
        </m:r>
        <m:r>
          <m:rPr>
            <m:sty m:val="p"/>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ascii="Times New Roman" w:eastAsiaTheme="minorEastAsia"/>
                <w:i/>
                <w:iCs/>
                <w:sz w:val="24"/>
                <w:szCs w:val="24"/>
              </w:rPr>
              <m:t>NCV</m:t>
            </m:r>
            <m:ctrlPr>
              <w:rPr>
                <w:rFonts w:ascii="Cambria Math" w:hAnsi="Cambria Math" w:eastAsiaTheme="minorEastAsia"/>
                <w:i/>
                <w:iCs/>
                <w:sz w:val="24"/>
                <w:szCs w:val="24"/>
              </w:rPr>
            </m:ctrlPr>
          </m:e>
          <m:sub>
            <m:r>
              <m:rPr/>
              <w:rPr>
                <w:rFonts w:ascii="Cambria Math" w:hAnsi="Cambria Math" w:eastAsiaTheme="minorEastAsia"/>
                <w:sz w:val="24"/>
                <w:szCs w:val="24"/>
              </w:rPr>
              <m:t>f</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换胎</m:t>
            </m:r>
            <m:ctrlPr>
              <w:rPr>
                <w:rFonts w:ascii="Cambria Math" w:hAnsi="Cambria Math" w:eastAsiaTheme="minorEastAsia"/>
                <w:i/>
                <w:iCs/>
                <w:sz w:val="24"/>
                <w:szCs w:val="24"/>
              </w:rPr>
            </m:ctrlPr>
          </m:sub>
        </m:sSub>
      </m:oMath>
      <w:r>
        <w:rPr>
          <w:rFonts w:hint="eastAsia" w:hAnsi="Cambria Math" w:eastAsiaTheme="minorEastAsia"/>
          <w:sz w:val="24"/>
          <w:szCs w:val="24"/>
        </w:rPr>
        <w:t xml:space="preserve">   </w:t>
      </w:r>
      <w:r>
        <w:rPr>
          <w:rFonts w:hint="eastAsia" w:ascii="Times New Roman" w:eastAsiaTheme="minorEastAsia"/>
          <w:sz w:val="24"/>
          <w:szCs w:val="24"/>
        </w:rPr>
        <w:t xml:space="preserve">           </w:t>
      </w:r>
      <w:r>
        <w:rPr>
          <w:rFonts w:ascii="Times New Roman" w:eastAsiaTheme="minorEastAsia"/>
          <w:sz w:val="24"/>
          <w:szCs w:val="24"/>
        </w:rPr>
        <w:t>（11）</w:t>
      </w:r>
    </w:p>
    <w:p>
      <w:pPr>
        <w:pStyle w:val="23"/>
        <w:spacing w:line="360" w:lineRule="auto"/>
        <w:ind w:firstLine="480"/>
        <w:rPr>
          <w:rFonts w:ascii="Times New Roman" w:eastAsiaTheme="minorEastAsia"/>
          <w:sz w:val="24"/>
          <w:szCs w:val="24"/>
        </w:rPr>
      </w:pPr>
      <w:r>
        <w:rPr>
          <w:rFonts w:ascii="Times New Roman" w:eastAsiaTheme="minorEastAsia"/>
          <w:sz w:val="24"/>
          <w:szCs w:val="24"/>
        </w:rPr>
        <w:t>式中：</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hint="eastAsia" w:ascii="Times New Roman" w:eastAsiaTheme="minorEastAsia"/>
                <w:i/>
                <w:iCs/>
                <w:sz w:val="24"/>
                <w:szCs w:val="24"/>
              </w:rPr>
              <m:t>EF</m:t>
            </m:r>
            <m:ctrlPr>
              <w:rPr>
                <w:rFonts w:ascii="Cambria Math" w:hAnsi="Cambria Math" w:eastAsiaTheme="minorEastAsia"/>
                <w:i/>
                <w:iCs/>
                <w:sz w:val="24"/>
                <w:szCs w:val="24"/>
              </w:rPr>
            </m:ctrlPr>
          </m:e>
          <m:sub>
            <m:r>
              <m:rPr/>
              <w:rPr>
                <w:rFonts w:ascii="Cambria Math" w:hAnsi="Cambria Math" w:eastAsiaTheme="minorEastAsia"/>
                <w:sz w:val="24"/>
                <w:szCs w:val="24"/>
              </w:rPr>
              <m:t>f</m:t>
            </m:r>
            <m:ctrlPr>
              <w:rPr>
                <w:rFonts w:ascii="Cambria Math" w:hAnsi="Cambria Math" w:eastAsiaTheme="minorEastAsia"/>
                <w:i/>
                <w:iCs/>
                <w:sz w:val="24"/>
                <w:szCs w:val="24"/>
              </w:rPr>
            </m:ctrlPr>
          </m:sub>
        </m:sSub>
      </m:oMath>
      <w:r>
        <w:rPr>
          <w:rFonts w:ascii="Times New Roman" w:eastAsiaTheme="minorEastAsia"/>
          <w:sz w:val="24"/>
          <w:szCs w:val="24"/>
        </w:rPr>
        <w:t>——燃料</w:t>
      </w:r>
      <m:oMath>
        <m:r>
          <m:rPr/>
          <w:rPr>
            <w:rFonts w:ascii="Cambria Math" w:hAnsi="Cambria Math" w:eastAsiaTheme="minorEastAsia"/>
            <w:sz w:val="24"/>
            <w:szCs w:val="24"/>
          </w:rPr>
          <m:t>f</m:t>
        </m:r>
      </m:oMath>
      <w:r>
        <w:rPr>
          <w:rFonts w:ascii="Times New Roman" w:eastAsiaTheme="minorEastAsia"/>
          <w:sz w:val="24"/>
          <w:szCs w:val="24"/>
        </w:rPr>
        <w:t>生产的温室气体排放因子，单位为千克二氧化碳当量每千克（kgCO</w:t>
      </w:r>
      <w:r>
        <w:rPr>
          <w:rFonts w:ascii="Times New Roman" w:eastAsiaTheme="minorEastAsia"/>
          <w:sz w:val="24"/>
          <w:szCs w:val="24"/>
          <w:vertAlign w:val="subscript"/>
        </w:rPr>
        <w:t>2</w:t>
      </w:r>
      <w:r>
        <w:rPr>
          <w:rFonts w:ascii="Times New Roman" w:eastAsiaTheme="minorEastAsia"/>
          <w:sz w:val="24"/>
          <w:szCs w:val="24"/>
        </w:rPr>
        <w:t>e/kg）；</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ascii="Times New Roman" w:eastAsiaTheme="minorEastAsia"/>
                <w:i/>
                <w:iCs/>
                <w:sz w:val="24"/>
                <w:szCs w:val="24"/>
              </w:rPr>
              <m:t>K</m:t>
            </m:r>
            <m:ctrlPr>
              <w:rPr>
                <w:rFonts w:ascii="Cambria Math" w:hAnsi="Cambria Math" w:eastAsiaTheme="minorEastAsia"/>
                <w:i/>
                <w:iCs/>
                <w:sz w:val="24"/>
                <w:szCs w:val="24"/>
              </w:rPr>
            </m:ctrlPr>
          </m:e>
          <m:sub>
            <m:sSub>
              <m:sSubPr>
                <m:ctrlPr>
                  <w:rPr>
                    <w:rFonts w:ascii="Cambria Math" w:hAnsi="Cambria Math" w:eastAsiaTheme="minorEastAsia"/>
                    <w:i/>
                    <w:sz w:val="24"/>
                    <w:szCs w:val="24"/>
                  </w:rPr>
                </m:ctrlPr>
              </m:sSubPr>
              <m:e>
                <m:r>
                  <m:rPr/>
                  <w:rPr>
                    <w:rFonts w:ascii="Cambria Math" w:hAnsi="Cambria Math" w:eastAsiaTheme="minorEastAsia"/>
                    <w:sz w:val="24"/>
                    <w:szCs w:val="24"/>
                  </w:rPr>
                  <m:t>CO</m:t>
                </m:r>
                <m:ctrlPr>
                  <w:rPr>
                    <w:rFonts w:ascii="Cambria Math" w:hAnsi="Cambria Math" w:eastAsiaTheme="minorEastAsia"/>
                    <w:i/>
                    <w:sz w:val="24"/>
                    <w:szCs w:val="24"/>
                  </w:rPr>
                </m:ctrlPr>
              </m:e>
              <m:sub>
                <m:r>
                  <m:rPr/>
                  <w:rPr>
                    <w:rFonts w:ascii="Cambria Math" w:hAnsi="Cambria Math" w:eastAsiaTheme="minorEastAsia"/>
                    <w:sz w:val="24"/>
                    <w:szCs w:val="24"/>
                  </w:rPr>
                  <m:t>2</m:t>
                </m:r>
                <m:ctrlPr>
                  <w:rPr>
                    <w:rFonts w:ascii="Cambria Math" w:hAnsi="Cambria Math" w:eastAsiaTheme="minorEastAsia"/>
                    <w:i/>
                    <w:sz w:val="24"/>
                    <w:szCs w:val="24"/>
                  </w:rPr>
                </m:ctrlPr>
              </m:sub>
            </m:sSub>
            <m:ctrlPr>
              <w:rPr>
                <w:rFonts w:ascii="Cambria Math" w:hAnsi="Cambria Math" w:eastAsiaTheme="minorEastAsia"/>
                <w:i/>
                <w:iCs/>
                <w:sz w:val="24"/>
                <w:szCs w:val="24"/>
              </w:rPr>
            </m:ctrlPr>
          </m:sub>
        </m:sSub>
      </m:oMath>
      <w:r>
        <w:rPr>
          <w:rFonts w:ascii="Times New Roman" w:eastAsiaTheme="minorEastAsia"/>
          <w:sz w:val="24"/>
          <w:szCs w:val="24"/>
        </w:rPr>
        <w:t>——燃料使用转换系数，参考GB 27999，对于汽油为2.37</w:t>
      </w:r>
      <w:r>
        <w:rPr>
          <w:rFonts w:hint="eastAsia" w:ascii="Times New Roman" w:eastAsiaTheme="minorEastAsia"/>
          <w:sz w:val="24"/>
          <w:szCs w:val="24"/>
        </w:rPr>
        <w:t xml:space="preserve"> </w:t>
      </w:r>
      <w:r>
        <w:rPr>
          <w:rFonts w:ascii="Times New Roman" w:eastAsiaTheme="minorEastAsia"/>
          <w:sz w:val="24"/>
          <w:szCs w:val="24"/>
        </w:rPr>
        <w:t>kg/L，柴油为2.60</w:t>
      </w:r>
      <w:r>
        <w:rPr>
          <w:rFonts w:hint="eastAsia" w:ascii="Times New Roman" w:eastAsiaTheme="minorEastAsia"/>
          <w:sz w:val="24"/>
          <w:szCs w:val="24"/>
        </w:rPr>
        <w:t xml:space="preserve"> </w:t>
      </w:r>
      <w:r>
        <w:rPr>
          <w:rFonts w:ascii="Times New Roman" w:eastAsiaTheme="minorEastAsia"/>
          <w:sz w:val="24"/>
          <w:szCs w:val="24"/>
        </w:rPr>
        <w:t>kg/L；</w:t>
      </w:r>
    </w:p>
    <w:p>
      <w:pPr>
        <w:pStyle w:val="23"/>
        <w:spacing w:line="360" w:lineRule="auto"/>
        <w:ind w:firstLineChars="175"/>
        <w:rPr>
          <w:rFonts w:ascii="Times New Roman" w:eastAsiaTheme="minorEastAsia"/>
          <w:sz w:val="24"/>
          <w:szCs w:val="24"/>
        </w:rPr>
      </w:pPr>
      <m:oMath>
        <m:r>
          <m:rPr/>
          <w:rPr>
            <w:rFonts w:ascii="Cambria Math" w:hAnsi="Cambria Math" w:eastAsiaTheme="minorEastAsia"/>
            <w:sz w:val="24"/>
            <w:szCs w:val="24"/>
          </w:rPr>
          <m:t>ρ</m:t>
        </m:r>
      </m:oMath>
      <w:r>
        <w:rPr>
          <w:rFonts w:ascii="Times New Roman" w:eastAsiaTheme="minorEastAsia"/>
          <w:sz w:val="24"/>
          <w:szCs w:val="24"/>
        </w:rPr>
        <w:t>——燃料密度，对轿车雪地轮胎产品按汽油取0.744</w:t>
      </w:r>
      <w:r>
        <w:rPr>
          <w:rFonts w:hint="eastAsia" w:ascii="Times New Roman" w:eastAsiaTheme="minorEastAsia"/>
          <w:sz w:val="24"/>
          <w:szCs w:val="24"/>
        </w:rPr>
        <w:t xml:space="preserve"> </w:t>
      </w:r>
      <w:r>
        <w:rPr>
          <w:rFonts w:ascii="Times New Roman" w:eastAsiaTheme="minorEastAsia"/>
          <w:sz w:val="24"/>
          <w:szCs w:val="24"/>
        </w:rPr>
        <w:t>kg/L，对载重汽车雪地轮胎产品按柴油取0.835</w:t>
      </w:r>
      <w:r>
        <w:rPr>
          <w:rFonts w:hint="eastAsia" w:ascii="Times New Roman" w:eastAsiaTheme="minorEastAsia"/>
          <w:sz w:val="24"/>
          <w:szCs w:val="24"/>
        </w:rPr>
        <w:t xml:space="preserve"> </w:t>
      </w:r>
      <w:r>
        <w:rPr>
          <w:rFonts w:ascii="Times New Roman" w:eastAsiaTheme="minorEastAsia"/>
          <w:sz w:val="24"/>
          <w:szCs w:val="24"/>
        </w:rPr>
        <w:t>kg/L；</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hint="eastAsia" w:ascii="Cambria Math" w:hAnsi="Cambria Math" w:eastAsiaTheme="minorEastAsia"/>
                <w:i/>
                <w:iCs/>
                <w:sz w:val="24"/>
                <w:szCs w:val="24"/>
              </w:rPr>
              <m:t>NCV</m:t>
            </m:r>
            <m:ctrlPr>
              <w:rPr>
                <w:rFonts w:ascii="Cambria Math" w:hAnsi="Cambria Math" w:eastAsiaTheme="minorEastAsia"/>
                <w:i/>
                <w:iCs/>
                <w:sz w:val="24"/>
                <w:szCs w:val="24"/>
              </w:rPr>
            </m:ctrlPr>
          </m:e>
          <m:sub>
            <m:r>
              <m:rPr/>
              <w:rPr>
                <w:rFonts w:ascii="Cambria Math" w:hAnsi="Cambria Math" w:eastAsiaTheme="minorEastAsia"/>
                <w:sz w:val="24"/>
                <w:szCs w:val="24"/>
              </w:rPr>
              <m:t>f</m:t>
            </m:r>
            <m:ctrlPr>
              <w:rPr>
                <w:rFonts w:ascii="Cambria Math" w:hAnsi="Cambria Math" w:eastAsiaTheme="minorEastAsia"/>
                <w:i/>
                <w:iCs/>
                <w:sz w:val="24"/>
                <w:szCs w:val="24"/>
              </w:rPr>
            </m:ctrlPr>
          </m:sub>
        </m:sSub>
      </m:oMath>
      <w:r>
        <w:rPr>
          <w:rFonts w:ascii="Times New Roman" w:eastAsiaTheme="minorEastAsia"/>
          <w:sz w:val="24"/>
          <w:szCs w:val="24"/>
        </w:rPr>
        <w:t>——能源或燃料</w:t>
      </w:r>
      <m:oMath>
        <m:r>
          <m:rPr/>
          <w:rPr>
            <w:rFonts w:ascii="Cambria Math" w:hAnsi="Cambria Math" w:eastAsiaTheme="minorEastAsia"/>
            <w:sz w:val="24"/>
            <w:szCs w:val="24"/>
          </w:rPr>
          <m:t>r</m:t>
        </m:r>
      </m:oMath>
      <w:r>
        <w:rPr>
          <w:rFonts w:ascii="Times New Roman" w:eastAsiaTheme="minorEastAsia"/>
          <w:sz w:val="24"/>
          <w:szCs w:val="24"/>
        </w:rPr>
        <w:t>的平均低位发热量。单位为吉焦每吨（GJ/t）、吉焦每万立方米</w:t>
      </w:r>
    </w:p>
    <w:p>
      <w:pPr>
        <w:pStyle w:val="23"/>
        <w:spacing w:line="360" w:lineRule="auto"/>
        <w:ind w:firstLine="0" w:firstLineChars="0"/>
        <w:rPr>
          <w:rFonts w:ascii="Times New Roman" w:eastAsiaTheme="minorEastAsia"/>
          <w:sz w:val="24"/>
          <w:szCs w:val="24"/>
        </w:rPr>
      </w:pPr>
      <w:r>
        <w:rPr>
          <w:rFonts w:hint="eastAsia" w:ascii="Times New Roman" w:eastAsiaTheme="minorEastAsia"/>
          <w:sz w:val="24"/>
          <w:szCs w:val="24"/>
        </w:rPr>
        <w:t>（</w:t>
      </w:r>
      <w:r>
        <w:rPr>
          <w:rFonts w:ascii="Times New Roman" w:eastAsiaTheme="minorEastAsia"/>
          <w:sz w:val="24"/>
          <w:szCs w:val="24"/>
        </w:rPr>
        <w:t>GJ/10</w:t>
      </w:r>
      <w:r>
        <w:rPr>
          <w:rFonts w:ascii="Times New Roman" w:eastAsiaTheme="minorEastAsia"/>
          <w:sz w:val="24"/>
          <w:szCs w:val="24"/>
          <w:vertAlign w:val="superscript"/>
        </w:rPr>
        <w:t>4</w:t>
      </w:r>
      <w:r>
        <w:rPr>
          <w:rFonts w:ascii="Times New Roman" w:eastAsiaTheme="minorEastAsia"/>
          <w:sz w:val="24"/>
          <w:szCs w:val="24"/>
        </w:rPr>
        <w:t>m</w:t>
      </w:r>
      <w:r>
        <w:rPr>
          <w:rFonts w:ascii="Times New Roman" w:eastAsiaTheme="minorEastAsia"/>
          <w:sz w:val="24"/>
          <w:szCs w:val="24"/>
          <w:vertAlign w:val="superscript"/>
        </w:rPr>
        <w:t>3</w:t>
      </w:r>
      <w:r>
        <w:rPr>
          <w:rFonts w:hint="eastAsia" w:ascii="Times New Roman" w:eastAsiaTheme="minorEastAsia"/>
          <w:sz w:val="24"/>
          <w:szCs w:val="24"/>
        </w:rPr>
        <w:t>）</w:t>
      </w:r>
      <w:r>
        <w:rPr>
          <w:rFonts w:ascii="Times New Roman" w:eastAsiaTheme="minorEastAsia"/>
          <w:sz w:val="24"/>
          <w:szCs w:val="24"/>
        </w:rPr>
        <w:t>，参见附录B。</w:t>
      </w:r>
    </w:p>
    <w:p>
      <w:pPr>
        <w:pStyle w:val="23"/>
        <w:numPr>
          <w:ilvl w:val="0"/>
          <w:numId w:val="4"/>
        </w:numPr>
        <w:spacing w:line="360" w:lineRule="auto"/>
        <w:ind w:firstLineChars="0"/>
        <w:rPr>
          <w:rFonts w:ascii="Times New Roman" w:eastAsiaTheme="minorEastAsia"/>
          <w:sz w:val="24"/>
          <w:szCs w:val="24"/>
        </w:rPr>
      </w:pPr>
      <w:r>
        <w:rPr>
          <w:rFonts w:ascii="Times New Roman" w:eastAsiaTheme="minorEastAsia"/>
          <w:sz w:val="24"/>
          <w:szCs w:val="24"/>
        </w:rPr>
        <w:t>应用于可外接充电式混合动力汽车场景</w:t>
      </w:r>
    </w:p>
    <w:p>
      <w:pPr>
        <w:pStyle w:val="23"/>
        <w:spacing w:line="360" w:lineRule="auto"/>
        <w:ind w:firstLine="480"/>
        <w:rPr>
          <w:rFonts w:ascii="Times New Roman" w:eastAsiaTheme="minorEastAsia"/>
          <w:sz w:val="24"/>
          <w:szCs w:val="24"/>
        </w:rPr>
      </w:pPr>
      <w:r>
        <w:rPr>
          <w:rFonts w:ascii="Times New Roman" w:eastAsiaTheme="minorEastAsia"/>
          <w:sz w:val="24"/>
          <w:szCs w:val="24"/>
        </w:rPr>
        <w:t>当雪地轮胎产品应用于可外接充电式混合动力汽车时，使用阶段应根据式（12）计算由于雪地轮胎产品使用产生的能量消耗带来的温室气体排放：</w:t>
      </w:r>
    </w:p>
    <w:p>
      <w:pPr>
        <w:pStyle w:val="23"/>
        <w:spacing w:line="360" w:lineRule="auto"/>
        <w:ind w:firstLine="0" w:firstLineChars="0"/>
        <w:jc w:val="center"/>
        <w:rPr>
          <w:rFonts w:ascii="Times New Roman" w:eastAsiaTheme="minorEastAsia"/>
          <w:sz w:val="24"/>
          <w:szCs w:val="24"/>
        </w:rPr>
      </w:pPr>
      <m:oMath>
        <m:sSub>
          <m:sSubPr>
            <m:ctrlPr>
              <w:rPr>
                <w:rFonts w:ascii="Cambria Math" w:hAnsi="Cambria Math" w:eastAsiaTheme="minorEastAsia"/>
                <w:i/>
                <w:sz w:val="24"/>
                <w:szCs w:val="24"/>
              </w:rPr>
            </m:ctrlPr>
          </m:sSubPr>
          <m:e>
            <m:r>
              <m:rPr/>
              <w:rPr>
                <w:rFonts w:ascii="Cambria Math" w:hAnsi="Cambria Math" w:eastAsiaTheme="minorEastAsia"/>
                <w:sz w:val="24"/>
                <w:szCs w:val="24"/>
              </w:rPr>
              <m:t>C</m:t>
            </m:r>
            <m:ctrlPr>
              <w:rPr>
                <w:rFonts w:ascii="Cambria Math" w:hAnsi="Cambria Math" w:eastAsiaTheme="minorEastAsia"/>
                <w:i/>
                <w:sz w:val="24"/>
                <w:szCs w:val="24"/>
              </w:rPr>
            </m:ctrlPr>
          </m:e>
          <m:sub>
            <m:r>
              <m:rPr>
                <m:nor/>
                <m:sty m:val="p"/>
              </m:rPr>
              <w:rPr>
                <w:rFonts w:ascii="Cambria Math" w:hAnsi="Cambria Math" w:eastAsiaTheme="minorEastAsia"/>
                <w:iCs/>
                <w:sz w:val="24"/>
                <w:szCs w:val="24"/>
              </w:rPr>
              <m:t>使用</m:t>
            </m:r>
            <m:ctrlPr>
              <w:rPr>
                <w:rFonts w:ascii="Cambria Math" w:hAnsi="Cambria Math" w:eastAsiaTheme="minorEastAsia"/>
                <w:i/>
                <w:sz w:val="24"/>
                <w:szCs w:val="24"/>
              </w:rPr>
            </m:ctrlPr>
          </m:sub>
        </m:sSub>
        <m:r>
          <m:rPr/>
          <w:rPr>
            <w:rFonts w:ascii="Cambria Math" w:hAnsi="Cambria Math" w:eastAsiaTheme="minorEastAsia"/>
            <w:sz w:val="24"/>
            <w:szCs w:val="24"/>
          </w:rPr>
          <m:t>=</m:t>
        </m:r>
        <m:d>
          <m:dPr>
            <m:begChr m:val="（"/>
            <m:endChr m:val="）"/>
            <m:ctrlPr>
              <w:rPr>
                <w:rFonts w:ascii="Cambria Math" w:hAnsi="Cambria Math" w:eastAsiaTheme="minorEastAsia"/>
                <w:i/>
                <w:sz w:val="24"/>
                <w:szCs w:val="24"/>
              </w:rPr>
            </m:ctrlPr>
          </m:dPr>
          <m:e>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E</m:t>
                </m:r>
                <m:ctrlPr>
                  <w:rPr>
                    <w:rFonts w:ascii="Cambria Math" w:hAnsi="Cambria Math" w:eastAsiaTheme="minorEastAsia"/>
                    <w:i/>
                    <w:sz w:val="24"/>
                    <w:szCs w:val="24"/>
                  </w:rPr>
                </m:ctrlPr>
              </m:e>
              <m:sub>
                <m:r>
                  <m:rPr/>
                  <w:rPr>
                    <w:rFonts w:ascii="Cambria Math" w:hAnsi="Cambria Math" w:eastAsiaTheme="minorEastAsia"/>
                    <w:sz w:val="24"/>
                    <w:szCs w:val="24"/>
                  </w:rPr>
                  <m:t>RR</m:t>
                </m:r>
                <m:ctrlPr>
                  <w:rPr>
                    <w:rFonts w:ascii="Cambria Math" w:hAnsi="Cambria Math" w:eastAsiaTheme="minorEastAsia"/>
                    <w:i/>
                    <w:sz w:val="24"/>
                    <w:szCs w:val="24"/>
                  </w:rPr>
                </m:ctrlPr>
              </m:sub>
            </m:sSub>
            <m:r>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E</m:t>
                </m:r>
                <m:ctrlPr>
                  <w:rPr>
                    <w:rFonts w:ascii="Cambria Math" w:hAnsi="Cambria Math" w:eastAsiaTheme="minorEastAsia"/>
                    <w:i/>
                    <w:sz w:val="24"/>
                    <w:szCs w:val="24"/>
                  </w:rPr>
                </m:ctrlPr>
              </m:e>
              <m:sub>
                <m:r>
                  <m:rPr/>
                  <w:rPr>
                    <w:rFonts w:ascii="Cambria Math" w:hAnsi="Cambria Math" w:eastAsiaTheme="minorEastAsia"/>
                    <w:sz w:val="24"/>
                    <w:szCs w:val="24"/>
                  </w:rPr>
                  <m:t>AR</m:t>
                </m:r>
                <m:ctrlPr>
                  <w:rPr>
                    <w:rFonts w:ascii="Cambria Math" w:hAnsi="Cambria Math" w:eastAsiaTheme="minorEastAsia"/>
                    <w:i/>
                    <w:sz w:val="24"/>
                    <w:szCs w:val="24"/>
                  </w:rPr>
                </m:ctrlPr>
              </m:sub>
            </m:sSub>
            <m:ctrlPr>
              <w:rPr>
                <w:rFonts w:ascii="Cambria Math" w:hAnsi="Cambria Math" w:eastAsiaTheme="minorEastAsia"/>
                <w:i/>
                <w:sz w:val="24"/>
                <w:szCs w:val="24"/>
              </w:rPr>
            </m:ctrlPr>
          </m:e>
        </m:d>
        <m:r>
          <m:rPr/>
          <w:rPr>
            <w:rFonts w:ascii="Cambria Math" w:hAnsi="Cambria Math" w:eastAsiaTheme="minorEastAsia"/>
            <w:sz w:val="24"/>
            <w:szCs w:val="24"/>
          </w:rPr>
          <m:t xml:space="preserve">× </m:t>
        </m:r>
        <m:f>
          <m:fPr>
            <m:ctrlPr>
              <w:rPr>
                <w:rFonts w:ascii="Cambria Math" w:hAnsi="Cambria Math" w:eastAsiaTheme="minorEastAsia"/>
                <w:i/>
                <w:sz w:val="24"/>
                <w:szCs w:val="24"/>
              </w:rPr>
            </m:ctrlPr>
          </m:fPr>
          <m:num>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EF</m:t>
                </m:r>
                <m:ctrlPr>
                  <w:rPr>
                    <w:rFonts w:ascii="Cambria Math" w:hAnsi="Cambria Math" w:eastAsiaTheme="minorEastAsia"/>
                    <w:i/>
                    <w:sz w:val="24"/>
                    <w:szCs w:val="24"/>
                  </w:rPr>
                </m:ctrlPr>
              </m:e>
              <m:sub>
                <m:r>
                  <m:rPr/>
                  <w:rPr>
                    <w:rFonts w:ascii="Cambria Math" w:hAnsi="Cambria Math" w:eastAsiaTheme="minorEastAsia"/>
                    <w:sz w:val="24"/>
                    <w:szCs w:val="24"/>
                  </w:rPr>
                  <m:t>Electricity</m:t>
                </m:r>
                <m:ctrlPr>
                  <w:rPr>
                    <w:rFonts w:ascii="Cambria Math" w:hAnsi="Cambria Math" w:eastAsiaTheme="minorEastAsia"/>
                    <w:i/>
                    <w:sz w:val="24"/>
                    <w:szCs w:val="24"/>
                  </w:rPr>
                </m:ctrlPr>
              </m:sub>
            </m:sSub>
            <m:ctrlPr>
              <w:rPr>
                <w:rFonts w:ascii="Cambria Math" w:hAnsi="Cambria Math" w:eastAsiaTheme="minorEastAsia"/>
                <w:i/>
                <w:sz w:val="24"/>
                <w:szCs w:val="24"/>
              </w:rPr>
            </m:ctrlPr>
          </m:num>
          <m:den>
            <m:r>
              <m:rPr/>
              <w:rPr>
                <w:rFonts w:ascii="Cambria Math" w:hAnsi="Cambria Math" w:eastAsiaTheme="minorEastAsia"/>
                <w:sz w:val="24"/>
                <w:szCs w:val="24"/>
              </w:rPr>
              <m:t>3.6</m:t>
            </m:r>
            <m:ctrlPr>
              <w:rPr>
                <w:rFonts w:ascii="Cambria Math" w:hAnsi="Cambria Math" w:eastAsiaTheme="minorEastAsia"/>
                <w:i/>
                <w:sz w:val="24"/>
                <w:szCs w:val="24"/>
              </w:rPr>
            </m:ctrlPr>
          </m:den>
        </m:f>
        <m:r>
          <m:rPr/>
          <w:rPr>
            <w:rFonts w:ascii="Cambria Math" w:hAnsi="Cambria Math" w:eastAsiaTheme="minorEastAsia"/>
            <w:sz w:val="24"/>
            <w:szCs w:val="24"/>
          </w:rPr>
          <m:t>×UF+</m:t>
        </m:r>
        <m:r>
          <m:rPr>
            <m:sty m:val="p"/>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E</m:t>
            </m:r>
            <m:ctrlPr>
              <w:rPr>
                <w:rFonts w:ascii="Cambria Math" w:hAnsi="Cambria Math" w:eastAsiaTheme="minorEastAsia"/>
                <w:i/>
                <w:sz w:val="24"/>
                <w:szCs w:val="24"/>
              </w:rPr>
            </m:ctrlPr>
          </m:e>
          <m:sub>
            <m:r>
              <m:rPr/>
              <w:rPr>
                <w:rFonts w:ascii="Cambria Math" w:hAnsi="Cambria Math" w:eastAsiaTheme="minorEastAsia"/>
                <w:sz w:val="24"/>
                <w:szCs w:val="24"/>
              </w:rPr>
              <m:t>RR</m:t>
            </m:r>
            <m:ctrlPr>
              <w:rPr>
                <w:rFonts w:ascii="Cambria Math" w:hAnsi="Cambria Math" w:eastAsiaTheme="minorEastAsia"/>
                <w:i/>
                <w:sz w:val="24"/>
                <w:szCs w:val="24"/>
              </w:rPr>
            </m:ctrlPr>
          </m:sub>
        </m:sSub>
        <m:r>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E</m:t>
            </m:r>
            <m:ctrlPr>
              <w:rPr>
                <w:rFonts w:ascii="Cambria Math" w:hAnsi="Cambria Math" w:eastAsiaTheme="minorEastAsia"/>
                <w:i/>
                <w:sz w:val="24"/>
                <w:szCs w:val="24"/>
              </w:rPr>
            </m:ctrlPr>
          </m:e>
          <m:sub>
            <m:r>
              <m:rPr/>
              <w:rPr>
                <w:rFonts w:ascii="Cambria Math" w:hAnsi="Cambria Math" w:eastAsiaTheme="minorEastAsia"/>
                <w:sz w:val="24"/>
                <w:szCs w:val="24"/>
              </w:rPr>
              <m:t>AR</m:t>
            </m:r>
            <m:ctrlPr>
              <w:rPr>
                <w:rFonts w:ascii="Cambria Math" w:hAnsi="Cambria Math" w:eastAsiaTheme="minorEastAsia"/>
                <w:i/>
                <w:sz w:val="24"/>
                <w:szCs w:val="24"/>
              </w:rPr>
            </m:ctrlPr>
          </m:sub>
        </m:sSub>
        <m:r>
          <m:rPr>
            <m:sty m:val="p"/>
          </m:rPr>
          <w:rPr>
            <w:rFonts w:ascii="Cambria Math" w:hAnsi="Cambria Math" w:eastAsiaTheme="minorEastAsia"/>
            <w:sz w:val="24"/>
            <w:szCs w:val="24"/>
          </w:rPr>
          <m:t>)</m:t>
        </m:r>
        <m:r>
          <m:rPr/>
          <w:rPr>
            <w:rFonts w:ascii="Cambria Math" w:hAnsi="Cambria Math" w:eastAsiaTheme="minorEastAsia"/>
            <w:sz w:val="24"/>
            <w:szCs w:val="24"/>
          </w:rPr>
          <m:t>×</m:t>
        </m:r>
        <m:r>
          <m:rPr>
            <m:sty m:val="p"/>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EF</m:t>
            </m:r>
            <m:ctrlPr>
              <w:rPr>
                <w:rFonts w:ascii="Cambria Math" w:hAnsi="Cambria Math" w:eastAsiaTheme="minorEastAsia"/>
                <w:i/>
                <w:sz w:val="24"/>
                <w:szCs w:val="24"/>
              </w:rPr>
            </m:ctrlPr>
          </m:e>
          <m:sub>
            <m:r>
              <m:rPr/>
              <w:rPr>
                <w:rFonts w:ascii="Cambria Math" w:hAnsi="Cambria Math" w:eastAsiaTheme="minorEastAsia"/>
                <w:sz w:val="24"/>
                <w:szCs w:val="24"/>
              </w:rPr>
              <m:t>f</m:t>
            </m:r>
            <m:ctrlPr>
              <w:rPr>
                <w:rFonts w:ascii="Cambria Math" w:hAnsi="Cambria Math" w:eastAsiaTheme="minorEastAsia"/>
                <w:i/>
                <w:sz w:val="24"/>
                <w:szCs w:val="24"/>
              </w:rPr>
            </m:ctrlPr>
          </m:sub>
        </m:sSub>
        <m:r>
          <m:rPr/>
          <w:rPr>
            <w:rFonts w:ascii="Cambria Math" w:hAnsi="Cambria Math" w:eastAsiaTheme="minorEastAsia"/>
            <w:sz w:val="24"/>
            <w:szCs w:val="24"/>
          </w:rPr>
          <m:t>+</m:t>
        </m:r>
        <m:f>
          <m:fPr>
            <m:ctrlPr>
              <w:rPr>
                <w:rFonts w:ascii="Cambria Math" w:hAnsi="Cambria Math" w:eastAsiaTheme="minorEastAsia"/>
                <w:i/>
                <w:sz w:val="24"/>
                <w:szCs w:val="24"/>
              </w:rPr>
            </m:ctrlPr>
          </m:fPr>
          <m:num>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K</m:t>
                </m:r>
                <m:ctrlPr>
                  <w:rPr>
                    <w:rFonts w:ascii="Cambria Math" w:hAnsi="Cambria Math" w:eastAsiaTheme="minorEastAsia"/>
                    <w:i/>
                    <w:sz w:val="24"/>
                    <w:szCs w:val="24"/>
                  </w:rPr>
                </m:ctrlPr>
              </m:e>
              <m:sub>
                <m:sSub>
                  <m:sSubPr>
                    <m:ctrlPr>
                      <w:rPr>
                        <w:rFonts w:ascii="Cambria Math" w:hAnsi="Cambria Math" w:eastAsiaTheme="minorEastAsia"/>
                        <w:i/>
                        <w:sz w:val="24"/>
                        <w:szCs w:val="24"/>
                      </w:rPr>
                    </m:ctrlPr>
                  </m:sSubPr>
                  <m:e>
                    <m:r>
                      <m:rPr/>
                      <w:rPr>
                        <w:rFonts w:ascii="Cambria Math" w:hAnsi="Cambria Math" w:eastAsiaTheme="minorEastAsia"/>
                        <w:sz w:val="24"/>
                        <w:szCs w:val="24"/>
                      </w:rPr>
                      <m:t>CO</m:t>
                    </m:r>
                    <m:ctrlPr>
                      <w:rPr>
                        <w:rFonts w:ascii="Cambria Math" w:hAnsi="Cambria Math" w:eastAsiaTheme="minorEastAsia"/>
                        <w:i/>
                        <w:sz w:val="24"/>
                        <w:szCs w:val="24"/>
                      </w:rPr>
                    </m:ctrlPr>
                  </m:e>
                  <m:sub>
                    <m:r>
                      <m:rPr/>
                      <w:rPr>
                        <w:rFonts w:ascii="Cambria Math" w:hAnsi="Cambria Math" w:eastAsiaTheme="minorEastAsia"/>
                        <w:sz w:val="24"/>
                        <w:szCs w:val="24"/>
                      </w:rPr>
                      <m:t>2</m:t>
                    </m:r>
                    <m:ctrlPr>
                      <w:rPr>
                        <w:rFonts w:ascii="Cambria Math" w:hAnsi="Cambria Math" w:eastAsiaTheme="minorEastAsia"/>
                        <w:i/>
                        <w:sz w:val="24"/>
                        <w:szCs w:val="24"/>
                      </w:rPr>
                    </m:ctrlPr>
                  </m:sub>
                </m:sSub>
                <m:ctrlPr>
                  <w:rPr>
                    <w:rFonts w:ascii="Cambria Math" w:hAnsi="Cambria Math" w:eastAsiaTheme="minorEastAsia"/>
                    <w:i/>
                    <w:sz w:val="24"/>
                    <w:szCs w:val="24"/>
                  </w:rPr>
                </m:ctrlPr>
              </m:sub>
            </m:sSub>
            <m:ctrlPr>
              <w:rPr>
                <w:rFonts w:ascii="Cambria Math" w:hAnsi="Cambria Math" w:eastAsiaTheme="minorEastAsia"/>
                <w:i/>
                <w:sz w:val="24"/>
                <w:szCs w:val="24"/>
              </w:rPr>
            </m:ctrlPr>
          </m:num>
          <m:den>
            <m:r>
              <m:rPr/>
              <w:rPr>
                <w:rFonts w:ascii="Cambria Math" w:hAnsi="Cambria Math" w:eastAsiaTheme="minorEastAsia"/>
                <w:sz w:val="24"/>
                <w:szCs w:val="24"/>
              </w:rPr>
              <m:t>ρ</m:t>
            </m:r>
            <m:ctrlPr>
              <w:rPr>
                <w:rFonts w:ascii="Cambria Math" w:hAnsi="Cambria Math" w:eastAsiaTheme="minorEastAsia"/>
                <w:i/>
                <w:sz w:val="24"/>
                <w:szCs w:val="24"/>
              </w:rPr>
            </m:ctrlPr>
          </m:den>
        </m:f>
        <m:r>
          <m:rPr>
            <m:sty m:val="p"/>
          </m:rPr>
          <w:rPr>
            <w:rFonts w:ascii="Cambria Math" w:hAnsi="Cambria Math" w:eastAsiaTheme="minorEastAsia"/>
            <w:sz w:val="24"/>
            <w:szCs w:val="24"/>
          </w:rPr>
          <m:t>)</m:t>
        </m:r>
        <m:r>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m:nor/>
              </m:rPr>
              <w:rPr>
                <w:rFonts w:ascii="Cambria Math" w:hAnsi="Cambria Math" w:eastAsiaTheme="minorEastAsia"/>
                <w:i/>
                <w:sz w:val="24"/>
                <w:szCs w:val="24"/>
              </w:rPr>
              <m:t>NCV</m:t>
            </m:r>
            <m:ctrlPr>
              <w:rPr>
                <w:rFonts w:ascii="Cambria Math" w:hAnsi="Cambria Math" w:eastAsiaTheme="minorEastAsia"/>
                <w:i/>
                <w:sz w:val="24"/>
                <w:szCs w:val="24"/>
              </w:rPr>
            </m:ctrlPr>
          </m:e>
          <m:sub>
            <m:r>
              <m:rPr/>
              <w:rPr>
                <w:rFonts w:ascii="Cambria Math" w:hAnsi="Cambria Math" w:eastAsiaTheme="minorEastAsia"/>
                <w:sz w:val="24"/>
                <w:szCs w:val="24"/>
              </w:rPr>
              <m:t>f</m:t>
            </m:r>
            <m:ctrlPr>
              <w:rPr>
                <w:rFonts w:ascii="Cambria Math" w:hAnsi="Cambria Math" w:eastAsiaTheme="minorEastAsia"/>
                <w:i/>
                <w:sz w:val="24"/>
                <w:szCs w:val="24"/>
              </w:rPr>
            </m:ctrlPr>
          </m:sub>
        </m:sSub>
        <m:r>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w:rPr>
                <w:rFonts w:ascii="Cambria Math" w:hAnsi="Cambria Math" w:eastAsiaTheme="minorEastAsia"/>
                <w:sz w:val="24"/>
                <w:szCs w:val="24"/>
              </w:rPr>
              <m:t>C</m:t>
            </m:r>
            <m:ctrlPr>
              <w:rPr>
                <w:rFonts w:ascii="Cambria Math" w:hAnsi="Cambria Math" w:eastAsiaTheme="minorEastAsia"/>
                <w:i/>
                <w:sz w:val="24"/>
                <w:szCs w:val="24"/>
              </w:rPr>
            </m:ctrlPr>
          </m:e>
          <m:sub>
            <m:r>
              <m:rPr>
                <m:sty m:val="p"/>
              </m:rPr>
              <w:rPr>
                <w:rFonts w:ascii="Cambria Math" w:hAnsi="Cambria Math" w:eastAsiaTheme="minorEastAsia"/>
                <w:sz w:val="24"/>
                <w:szCs w:val="24"/>
              </w:rPr>
              <m:t>换胎</m:t>
            </m:r>
            <m:ctrlPr>
              <w:rPr>
                <w:rFonts w:ascii="Cambria Math" w:hAnsi="Cambria Math" w:eastAsiaTheme="minorEastAsia"/>
                <w:i/>
                <w:sz w:val="24"/>
                <w:szCs w:val="24"/>
              </w:rPr>
            </m:ctrlPr>
          </m:sub>
        </m:sSub>
      </m:oMath>
      <w:r>
        <w:rPr>
          <w:rFonts w:hint="eastAsia" w:ascii="Times New Roman" w:eastAsiaTheme="minorEastAsia"/>
          <w:sz w:val="24"/>
          <w:szCs w:val="24"/>
        </w:rPr>
        <w:t xml:space="preserve">     </w:t>
      </w:r>
      <w:r>
        <w:rPr>
          <w:rFonts w:ascii="Times New Roman" w:eastAsiaTheme="minorEastAsia"/>
          <w:sz w:val="24"/>
          <w:szCs w:val="24"/>
        </w:rPr>
        <w:t>（12）</w:t>
      </w:r>
    </w:p>
    <w:p>
      <w:pPr>
        <w:pStyle w:val="23"/>
        <w:spacing w:line="360" w:lineRule="auto"/>
        <w:ind w:firstLine="0" w:firstLineChars="0"/>
        <w:rPr>
          <w:rFonts w:ascii="Times New Roman" w:eastAsiaTheme="minorEastAsia"/>
          <w:sz w:val="24"/>
          <w:szCs w:val="24"/>
        </w:rPr>
      </w:pPr>
      <w:r>
        <w:rPr>
          <w:rFonts w:ascii="Times New Roman" w:eastAsiaTheme="minorEastAsia"/>
          <w:sz w:val="24"/>
          <w:szCs w:val="24"/>
        </w:rPr>
        <w:t xml:space="preserve">    式中：</w:t>
      </w:r>
    </w:p>
    <w:p>
      <w:pPr>
        <w:pStyle w:val="23"/>
        <w:spacing w:line="360" w:lineRule="auto"/>
        <w:ind w:firstLine="0" w:firstLineChars="0"/>
        <w:rPr>
          <w:rFonts w:ascii="Times New Roman" w:eastAsiaTheme="minorEastAsia"/>
          <w:sz w:val="24"/>
          <w:szCs w:val="24"/>
        </w:rPr>
      </w:pPr>
      <w:r>
        <w:rPr>
          <w:rFonts w:ascii="Times New Roman" w:eastAsiaTheme="minorEastAsia"/>
          <w:i/>
          <w:iCs/>
          <w:sz w:val="24"/>
          <w:szCs w:val="24"/>
        </w:rPr>
        <w:t xml:space="preserve">    UF</w:t>
      </w:r>
      <w:r>
        <w:rPr>
          <w:rFonts w:ascii="Times New Roman" w:eastAsiaTheme="minorEastAsia"/>
          <w:sz w:val="24"/>
          <w:szCs w:val="24"/>
        </w:rPr>
        <w:t>——纯电利用系数，根据GB/T 19753或GB/T 19754确定，缺省值参见附录B。</w:t>
      </w:r>
    </w:p>
    <w:p>
      <w:pPr>
        <w:pStyle w:val="23"/>
        <w:numPr>
          <w:ilvl w:val="2"/>
          <w:numId w:val="2"/>
        </w:numPr>
        <w:spacing w:line="360" w:lineRule="auto"/>
        <w:ind w:firstLineChars="0"/>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废弃处理过程碳足迹</w:t>
      </w:r>
    </w:p>
    <w:p>
      <w:pPr>
        <w:pStyle w:val="23"/>
        <w:spacing w:line="360" w:lineRule="auto"/>
        <w:ind w:firstLineChars="175"/>
        <w:rPr>
          <w:rFonts w:ascii="Times New Roman" w:eastAsiaTheme="minorEastAsia"/>
          <w:sz w:val="24"/>
          <w:szCs w:val="24"/>
        </w:rPr>
      </w:pPr>
      <w:r>
        <w:rPr>
          <w:rFonts w:ascii="Times New Roman" w:eastAsiaTheme="minorEastAsia"/>
          <w:sz w:val="24"/>
          <w:szCs w:val="24"/>
        </w:rPr>
        <w:t>雪地轮胎产品</w:t>
      </w:r>
      <w:r>
        <w:rPr>
          <w:rFonts w:hint="eastAsia" w:ascii="Times New Roman" w:eastAsiaTheme="minorEastAsia"/>
          <w:sz w:val="24"/>
          <w:szCs w:val="24"/>
        </w:rPr>
        <w:t>废弃处理过程温室气体排放量按式（</w:t>
      </w:r>
      <w:r>
        <w:rPr>
          <w:rFonts w:ascii="Times New Roman" w:eastAsiaTheme="minorEastAsia"/>
          <w:sz w:val="24"/>
          <w:szCs w:val="24"/>
        </w:rPr>
        <w:t>13</w:t>
      </w:r>
      <w:r>
        <w:rPr>
          <w:rFonts w:hint="eastAsia" w:ascii="Times New Roman" w:eastAsiaTheme="minorEastAsia"/>
          <w:sz w:val="24"/>
          <w:szCs w:val="24"/>
        </w:rPr>
        <w:t>）进行计算：</w:t>
      </w:r>
    </w:p>
    <w:p>
      <w:pPr>
        <w:pStyle w:val="23"/>
        <w:spacing w:line="360" w:lineRule="auto"/>
        <w:ind w:firstLineChars="175"/>
        <w:rPr>
          <w:rFonts w:eastAsiaTheme="minorEastAsia"/>
          <w:sz w:val="24"/>
          <w:szCs w:val="24"/>
        </w:rPr>
      </w:pPr>
    </w:p>
    <w:p>
      <w:pPr>
        <w:pStyle w:val="23"/>
        <w:spacing w:line="360" w:lineRule="auto"/>
        <w:ind w:firstLine="2460" w:firstLineChars="1025"/>
        <w:rPr>
          <w:rFonts w:ascii="Cambria Math" w:hAnsi="Cambria Math" w:eastAsiaTheme="minorEastAsia"/>
          <w:sz w:val="24"/>
          <w:szCs w:val="24"/>
        </w:rPr>
      </w:pPr>
      <m:oMath>
        <m:r>
          <m:rPr>
            <m:sty m:val="p"/>
          </m:rPr>
          <w:rPr>
            <w:rFonts w:ascii="Cambria Math" w:hAnsi="Cambria Math" w:eastAsiaTheme="minorEastAsia"/>
            <w:sz w:val="24"/>
            <w:szCs w:val="28"/>
          </w:rPr>
          <m:t xml:space="preserve">  </m:t>
        </m:r>
        <m:r>
          <m:rPr>
            <m:sty m:val="p"/>
          </m:rPr>
          <w:rPr>
            <w:rFonts w:ascii="Cambria Math" w:hAnsi="Cambria Math" w:eastAsiaTheme="minorEastAsia"/>
            <w:sz w:val="24"/>
            <w:szCs w:val="24"/>
          </w:rPr>
          <m:t xml:space="preserve"> </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废弃</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m:nor/>
              </m:rPr>
              <w:rPr>
                <w:rFonts w:ascii="Cambria Math" w:hAnsi="Cambria Math" w:eastAsiaTheme="minorEastAsia"/>
                <w:i/>
                <w:iCs/>
                <w:sz w:val="24"/>
                <w:szCs w:val="24"/>
              </w:rPr>
              <m:t>M</m:t>
            </m:r>
            <m:ctrlPr>
              <w:rPr>
                <w:rFonts w:ascii="Cambria Math" w:hAnsi="Cambria Math" w:eastAsiaTheme="minorEastAsia"/>
                <w:i/>
                <w:iCs/>
                <w:sz w:val="24"/>
                <w:szCs w:val="24"/>
              </w:rPr>
            </m:ctrlPr>
          </m:e>
          <m:sub>
            <m:r>
              <m:rPr/>
              <w:rPr>
                <w:rFonts w:ascii="Cambria Math" w:hAnsi="Cambria Math" w:eastAsiaTheme="minorEastAsia"/>
                <w:sz w:val="24"/>
                <w:szCs w:val="24"/>
              </w:rPr>
              <m:t>Tyre</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W</m:t>
            </m:r>
            <m:ctrlPr>
              <w:rPr>
                <w:rFonts w:ascii="Cambria Math" w:hAnsi="Cambria Math" w:eastAsiaTheme="minorEastAsia"/>
                <w:i/>
                <w:iCs/>
                <w:sz w:val="24"/>
                <w:szCs w:val="24"/>
              </w:rPr>
            </m:ctrlPr>
          </m:e>
          <m:sub>
            <m:r>
              <m:rPr/>
              <w:rPr>
                <w:rFonts w:ascii="Cambria Math" w:hAnsi="Cambria Math" w:eastAsiaTheme="minorEastAsia"/>
                <w:sz w:val="24"/>
                <w:szCs w:val="24"/>
              </w:rPr>
              <m:t>i</m:t>
            </m:r>
            <m:ctrlPr>
              <w:rPr>
                <w:rFonts w:ascii="Cambria Math" w:hAnsi="Cambria Math" w:eastAsiaTheme="minorEastAsia"/>
                <w:i/>
                <w:iCs/>
                <w:sz w:val="24"/>
                <w:szCs w:val="24"/>
              </w:rPr>
            </m:ctrlPr>
          </m:sub>
        </m:sSub>
        <m:r>
          <m:rPr/>
          <w:rPr>
            <w:rFonts w:ascii="Cambria Math" w:hAnsi="Cambria Math" w:eastAsiaTheme="minorEastAsia"/>
            <w:sz w:val="24"/>
            <w:szCs w:val="24"/>
          </w:rPr>
          <m:t xml:space="preserve">× </m:t>
        </m:r>
        <m:sSub>
          <m:sSubPr>
            <m:ctrlPr>
              <w:rPr>
                <w:rFonts w:ascii="Cambria Math" w:hAnsi="Cambria Math" w:eastAsiaTheme="minorEastAsia"/>
                <w:i/>
                <w:iCs/>
                <w:sz w:val="24"/>
                <w:szCs w:val="24"/>
              </w:rPr>
            </m:ctrlPr>
          </m:sSubPr>
          <m:e>
            <m:r>
              <m:rPr>
                <m:nor/>
              </m:rPr>
              <w:rPr>
                <w:rFonts w:ascii="Cambria Math" w:hAnsi="Cambria Math" w:eastAsiaTheme="minorEastAsia"/>
                <w:i/>
                <w:iCs/>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i</m:t>
            </m:r>
            <m:ctrlPr>
              <w:rPr>
                <w:rFonts w:ascii="Cambria Math" w:hAnsi="Cambria Math" w:eastAsiaTheme="minorEastAsia"/>
                <w:i/>
                <w:iCs/>
                <w:sz w:val="24"/>
                <w:szCs w:val="24"/>
              </w:rPr>
            </m:ctrlPr>
          </m:sub>
        </m:sSub>
        <m:r>
          <m:rPr/>
          <w:rPr>
            <w:rFonts w:ascii="Cambria Math" w:hAnsi="Cambria Math" w:eastAsiaTheme="minorEastAsia"/>
            <w:sz w:val="24"/>
            <w:szCs w:val="24"/>
          </w:rPr>
          <m:t>+</m:t>
        </m:r>
        <m:sSub>
          <m:sSubPr>
            <m:ctrlPr>
              <w:rPr>
                <w:rFonts w:ascii="Cambria Math" w:hAnsi="Cambria Math" w:eastAsiaTheme="minorEastAsia"/>
                <w:i/>
                <w:iCs/>
                <w:sz w:val="24"/>
                <w:szCs w:val="24"/>
              </w:rPr>
            </m:ctrlPr>
          </m:sSubPr>
          <m:e>
            <m:r>
              <m:rPr/>
              <w:rPr>
                <w:rFonts w:ascii="Cambria Math" w:hAnsi="Cambria Math" w:eastAsiaTheme="minorEastAsia"/>
                <w:sz w:val="24"/>
                <w:szCs w:val="24"/>
              </w:rPr>
              <m:t>C</m:t>
            </m:r>
            <m:ctrlPr>
              <w:rPr>
                <w:rFonts w:ascii="Cambria Math" w:hAnsi="Cambria Math" w:eastAsiaTheme="minorEastAsia"/>
                <w:i/>
                <w:iCs/>
                <w:sz w:val="24"/>
                <w:szCs w:val="24"/>
              </w:rPr>
            </m:ctrlPr>
          </m:e>
          <m:sub>
            <m:r>
              <m:rPr>
                <m:sty m:val="p"/>
              </m:rPr>
              <w:rPr>
                <w:rFonts w:ascii="Cambria Math" w:hAnsi="Cambria Math" w:eastAsiaTheme="minorEastAsia"/>
                <w:sz w:val="24"/>
                <w:szCs w:val="24"/>
              </w:rPr>
              <m:t>运输</m:t>
            </m:r>
            <m:ctrlPr>
              <w:rPr>
                <w:rFonts w:ascii="Cambria Math" w:hAnsi="Cambria Math" w:eastAsiaTheme="minorEastAsia"/>
                <w:i/>
                <w:iCs/>
                <w:sz w:val="24"/>
                <w:szCs w:val="24"/>
              </w:rPr>
            </m:ctrlPr>
          </m:sub>
        </m:sSub>
      </m:oMath>
      <w:r>
        <w:rPr>
          <w:rFonts w:ascii="Cambria Math" w:hAnsi="Cambria Math" w:eastAsiaTheme="minorEastAsia"/>
          <w:sz w:val="24"/>
          <w:szCs w:val="24"/>
        </w:rPr>
        <w:t xml:space="preserve">               </w:t>
      </w:r>
      <w:r>
        <w:rPr>
          <w:rFonts w:hint="eastAsia" w:ascii="Cambria Math" w:hAnsi="Cambria Math" w:eastAsiaTheme="minorEastAsia"/>
          <w:sz w:val="24"/>
          <w:szCs w:val="24"/>
        </w:rPr>
        <w:t xml:space="preserve">   </w:t>
      </w:r>
      <w:r>
        <w:rPr>
          <w:rFonts w:ascii="Cambria Math" w:hAnsi="Cambria Math" w:eastAsiaTheme="minorEastAsia"/>
          <w:sz w:val="24"/>
          <w:szCs w:val="24"/>
        </w:rPr>
        <w:t xml:space="preserve">     </w:t>
      </w:r>
      <w:r>
        <w:rPr>
          <w:rFonts w:ascii="Times New Roman" w:eastAsiaTheme="minorEastAsia"/>
          <w:sz w:val="24"/>
          <w:szCs w:val="24"/>
        </w:rPr>
        <w:t>（13）</w:t>
      </w:r>
    </w:p>
    <w:p>
      <w:pPr>
        <w:pStyle w:val="23"/>
        <w:spacing w:line="360" w:lineRule="auto"/>
        <w:ind w:firstLineChars="175"/>
        <w:rPr>
          <w:rFonts w:ascii="Times New Roman" w:eastAsiaTheme="minorEastAsia"/>
          <w:sz w:val="24"/>
          <w:szCs w:val="24"/>
        </w:rPr>
      </w:pPr>
      <w:r>
        <w:rPr>
          <w:rFonts w:hint="eastAsia" w:ascii="Times New Roman" w:eastAsiaTheme="minorEastAsia"/>
          <w:sz w:val="24"/>
          <w:szCs w:val="24"/>
        </w:rPr>
        <w:t>式中</w:t>
      </w:r>
      <w:r>
        <w:rPr>
          <w:rFonts w:ascii="Times New Roman" w:eastAsiaTheme="minorEastAsia"/>
          <w:sz w:val="24"/>
          <w:szCs w:val="24"/>
        </w:rPr>
        <w:t>：</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ascii="Cambria Math" w:hAnsi="Cambria Math" w:eastAsiaTheme="minorEastAsia"/>
                <w:i/>
                <w:iCs/>
                <w:sz w:val="24"/>
                <w:szCs w:val="24"/>
              </w:rPr>
              <m:t>M</m:t>
            </m:r>
            <m:ctrlPr>
              <w:rPr>
                <w:rFonts w:ascii="Cambria Math" w:hAnsi="Cambria Math" w:eastAsiaTheme="minorEastAsia"/>
                <w:i/>
                <w:iCs/>
                <w:sz w:val="24"/>
                <w:szCs w:val="24"/>
              </w:rPr>
            </m:ctrlPr>
          </m:e>
          <m:sub>
            <m:r>
              <m:rPr/>
              <w:rPr>
                <w:rFonts w:ascii="Cambria Math" w:hAnsi="Cambria Math" w:eastAsiaTheme="minorEastAsia"/>
                <w:sz w:val="24"/>
                <w:szCs w:val="24"/>
              </w:rPr>
              <m:t>Tyre</m:t>
            </m:r>
            <m:ctrlPr>
              <w:rPr>
                <w:rFonts w:ascii="Cambria Math" w:hAnsi="Cambria Math" w:eastAsiaTheme="minorEastAsia"/>
                <w:i/>
                <w:iCs/>
                <w:sz w:val="24"/>
                <w:szCs w:val="24"/>
              </w:rPr>
            </m:ctrlPr>
          </m:sub>
        </m:sSub>
      </m:oMath>
      <w:r>
        <w:rPr>
          <w:rFonts w:ascii="Times New Roman" w:eastAsiaTheme="minorEastAsia"/>
          <w:sz w:val="24"/>
          <w:szCs w:val="24"/>
        </w:rPr>
        <w:t>——</w:t>
      </w:r>
      <w:bookmarkStart w:id="23" w:name="OLE_LINK1"/>
      <w:r>
        <w:rPr>
          <w:rFonts w:ascii="Times New Roman" w:eastAsiaTheme="minorEastAsia"/>
          <w:sz w:val="24"/>
          <w:szCs w:val="24"/>
        </w:rPr>
        <w:t>雪地轮胎产品</w:t>
      </w:r>
      <w:r>
        <w:rPr>
          <w:rFonts w:hint="eastAsia" w:ascii="Times New Roman" w:eastAsiaTheme="minorEastAsia"/>
          <w:sz w:val="24"/>
          <w:szCs w:val="24"/>
        </w:rPr>
        <w:t>质量</w:t>
      </w:r>
      <w:bookmarkEnd w:id="23"/>
      <w:r>
        <w:rPr>
          <w:rFonts w:hint="eastAsia" w:ascii="Times New Roman" w:eastAsiaTheme="minorEastAsia"/>
          <w:sz w:val="24"/>
          <w:szCs w:val="24"/>
        </w:rPr>
        <w:t>，单位为千克（kg）；</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w:rPr>
                <w:rFonts w:ascii="Cambria Math" w:hAnsi="Cambria Math" w:eastAsiaTheme="minorEastAsia"/>
                <w:sz w:val="24"/>
                <w:szCs w:val="24"/>
              </w:rPr>
              <m:t>W</m:t>
            </m:r>
            <m:ctrlPr>
              <w:rPr>
                <w:rFonts w:ascii="Cambria Math" w:hAnsi="Cambria Math" w:eastAsiaTheme="minorEastAsia"/>
                <w:i/>
                <w:iCs/>
                <w:sz w:val="24"/>
                <w:szCs w:val="24"/>
              </w:rPr>
            </m:ctrlPr>
          </m:e>
          <m:sub>
            <m:r>
              <m:rPr/>
              <w:rPr>
                <w:rFonts w:ascii="Cambria Math" w:hAnsi="Cambria Math" w:eastAsiaTheme="minorEastAsia"/>
                <w:sz w:val="24"/>
                <w:szCs w:val="24"/>
              </w:rPr>
              <m:t>i</m:t>
            </m:r>
            <m:ctrlPr>
              <w:rPr>
                <w:rFonts w:ascii="Cambria Math" w:hAnsi="Cambria Math" w:eastAsiaTheme="minorEastAsia"/>
                <w:i/>
                <w:iCs/>
                <w:sz w:val="24"/>
                <w:szCs w:val="24"/>
              </w:rPr>
            </m:ctrlPr>
          </m:sub>
        </m:sSub>
      </m:oMath>
      <w:r>
        <w:rPr>
          <w:rFonts w:ascii="Times New Roman" w:eastAsiaTheme="minorEastAsia"/>
          <w:sz w:val="24"/>
          <w:szCs w:val="24"/>
        </w:rPr>
        <w:t>——</w:t>
      </w:r>
      <w:r>
        <w:rPr>
          <w:rFonts w:hint="eastAsia" w:ascii="Times New Roman" w:eastAsiaTheme="minorEastAsia"/>
          <w:sz w:val="24"/>
          <w:szCs w:val="24"/>
        </w:rPr>
        <w:t>按废弃处理方式</w:t>
      </w:r>
      <m:oMath>
        <m:r>
          <m:rPr/>
          <w:rPr>
            <w:rFonts w:ascii="Cambria Math" w:hAnsi="Cambria Math" w:eastAsiaTheme="minorEastAsia"/>
            <w:sz w:val="24"/>
            <w:szCs w:val="24"/>
          </w:rPr>
          <m:t>i</m:t>
        </m:r>
      </m:oMath>
      <w:r>
        <w:rPr>
          <w:rFonts w:hint="eastAsia" w:ascii="Times New Roman" w:eastAsiaTheme="minorEastAsia"/>
          <w:sz w:val="24"/>
          <w:szCs w:val="24"/>
        </w:rPr>
        <w:t>进行废弃处理的</w:t>
      </w:r>
      <w:r>
        <w:rPr>
          <w:rFonts w:ascii="Times New Roman" w:eastAsiaTheme="minorEastAsia"/>
          <w:sz w:val="24"/>
          <w:szCs w:val="24"/>
        </w:rPr>
        <w:t>雪地轮胎产品</w:t>
      </w:r>
      <w:r>
        <w:rPr>
          <w:rFonts w:hint="eastAsia" w:ascii="Times New Roman" w:eastAsiaTheme="minorEastAsia"/>
          <w:sz w:val="24"/>
          <w:szCs w:val="24"/>
        </w:rPr>
        <w:t>质量比例（%），缺省值参见附录B；</w:t>
      </w:r>
    </w:p>
    <w:p>
      <w:pPr>
        <w:pStyle w:val="23"/>
        <w:spacing w:line="360" w:lineRule="auto"/>
        <w:ind w:firstLineChars="175"/>
        <w:rPr>
          <w:rFonts w:ascii="Times New Roman" w:eastAsiaTheme="minorEastAsia"/>
          <w:sz w:val="24"/>
          <w:szCs w:val="24"/>
        </w:rPr>
      </w:pPr>
      <m:oMath>
        <m:sSub>
          <m:sSubPr>
            <m:ctrlPr>
              <w:rPr>
                <w:rFonts w:ascii="Cambria Math" w:hAnsi="Cambria Math" w:eastAsiaTheme="minorEastAsia"/>
                <w:i/>
                <w:iCs/>
                <w:sz w:val="24"/>
                <w:szCs w:val="24"/>
              </w:rPr>
            </m:ctrlPr>
          </m:sSubPr>
          <m:e>
            <m:r>
              <m:rPr>
                <m:nor/>
              </m:rPr>
              <w:rPr>
                <w:rFonts w:ascii="Cambria Math" w:hAnsi="Cambria Math" w:eastAsiaTheme="minorEastAsia"/>
                <w:i/>
                <w:iCs/>
                <w:sz w:val="24"/>
                <w:szCs w:val="24"/>
              </w:rPr>
              <m:t>CEF</m:t>
            </m:r>
            <m:ctrlPr>
              <w:rPr>
                <w:rFonts w:ascii="Cambria Math" w:hAnsi="Cambria Math" w:eastAsiaTheme="minorEastAsia"/>
                <w:i/>
                <w:iCs/>
                <w:sz w:val="24"/>
                <w:szCs w:val="24"/>
              </w:rPr>
            </m:ctrlPr>
          </m:e>
          <m:sub>
            <m:r>
              <m:rPr/>
              <w:rPr>
                <w:rFonts w:ascii="Cambria Math" w:hAnsi="Cambria Math" w:eastAsiaTheme="minorEastAsia"/>
                <w:sz w:val="24"/>
                <w:szCs w:val="24"/>
              </w:rPr>
              <m:t>i</m:t>
            </m:r>
            <m:ctrlPr>
              <w:rPr>
                <w:rFonts w:ascii="Cambria Math" w:hAnsi="Cambria Math" w:eastAsiaTheme="minorEastAsia"/>
                <w:i/>
                <w:iCs/>
                <w:sz w:val="24"/>
                <w:szCs w:val="24"/>
              </w:rPr>
            </m:ctrlPr>
          </m:sub>
        </m:sSub>
      </m:oMath>
      <w:r>
        <w:rPr>
          <w:rFonts w:ascii="Times New Roman" w:eastAsiaTheme="minorEastAsia"/>
          <w:sz w:val="24"/>
          <w:szCs w:val="24"/>
        </w:rPr>
        <w:t>——</w:t>
      </w:r>
      <w:r>
        <w:rPr>
          <w:rFonts w:hint="eastAsia" w:ascii="Times New Roman" w:eastAsiaTheme="minorEastAsia"/>
          <w:sz w:val="24"/>
          <w:szCs w:val="24"/>
        </w:rPr>
        <w:t>废弃处理方式</w:t>
      </w:r>
      <m:oMath>
        <m:r>
          <m:rPr/>
          <w:rPr>
            <w:rFonts w:ascii="Cambria Math" w:hAnsi="Cambria Math" w:eastAsiaTheme="minorEastAsia"/>
            <w:sz w:val="24"/>
            <w:szCs w:val="24"/>
          </w:rPr>
          <m:t>i</m:t>
        </m:r>
      </m:oMath>
      <w:r>
        <w:rPr>
          <w:rFonts w:hint="eastAsia" w:ascii="Times New Roman" w:eastAsiaTheme="minorEastAsia"/>
          <w:sz w:val="24"/>
          <w:szCs w:val="24"/>
        </w:rPr>
        <w:t>的温室气体排放因子，单位为千克二氧化碳当量每千克（kgCO</w:t>
      </w:r>
      <w:r>
        <w:rPr>
          <w:rFonts w:hint="eastAsia" w:ascii="Times New Roman" w:eastAsiaTheme="minorEastAsia"/>
          <w:sz w:val="24"/>
          <w:szCs w:val="24"/>
          <w:vertAlign w:val="subscript"/>
        </w:rPr>
        <w:t>2</w:t>
      </w:r>
      <w:r>
        <w:rPr>
          <w:rFonts w:hint="eastAsia" w:ascii="Times New Roman" w:eastAsiaTheme="minorEastAsia"/>
          <w:sz w:val="24"/>
          <w:szCs w:val="24"/>
        </w:rPr>
        <w:t>e/kg）。</w:t>
      </w:r>
    </w:p>
    <w:p>
      <w:pPr>
        <w:pStyle w:val="23"/>
        <w:numPr>
          <w:ilvl w:val="1"/>
          <w:numId w:val="2"/>
        </w:numPr>
        <w:spacing w:line="360" w:lineRule="auto"/>
        <w:ind w:firstLineChars="0"/>
        <w:rPr>
          <w:rFonts w:ascii="Times New Roman" w:eastAsiaTheme="minorEastAsia"/>
          <w:sz w:val="24"/>
          <w:szCs w:val="24"/>
        </w:rPr>
      </w:pPr>
      <w:r>
        <w:rPr>
          <w:rFonts w:ascii="Times New Roman"/>
          <w:sz w:val="24"/>
          <w:szCs w:val="24"/>
        </w:rPr>
        <w:t>雪地轮胎</w:t>
      </w:r>
      <w:r>
        <w:rPr>
          <w:rFonts w:hint="eastAsia" w:ascii="Times New Roman" w:eastAsiaTheme="minorEastAsia"/>
          <w:sz w:val="24"/>
          <w:szCs w:val="24"/>
        </w:rPr>
        <w:t>产品全生命周期碳足迹</w:t>
      </w:r>
      <w:r>
        <w:rPr>
          <w:rFonts w:ascii="Times New Roman" w:eastAsiaTheme="minorEastAsia"/>
          <w:sz w:val="24"/>
          <w:szCs w:val="24"/>
        </w:rPr>
        <w:t>强度</w:t>
      </w:r>
    </w:p>
    <w:p>
      <w:pPr>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碳足迹</w:t>
      </w:r>
      <w:r>
        <w:rPr>
          <w:rFonts w:ascii="Times New Roman" w:hAnsi="Times New Roman" w:cs="Times New Roman"/>
          <w:kern w:val="0"/>
          <w:sz w:val="24"/>
          <w:szCs w:val="24"/>
        </w:rPr>
        <w:t>强度</w:t>
      </w:r>
      <w:r>
        <w:rPr>
          <w:rFonts w:hint="eastAsia" w:ascii="Times New Roman" w:hAnsi="Times New Roman" w:cs="Times New Roman"/>
          <w:kern w:val="0"/>
          <w:sz w:val="24"/>
          <w:szCs w:val="24"/>
        </w:rPr>
        <w:t>按式（</w:t>
      </w:r>
      <w:r>
        <w:rPr>
          <w:rFonts w:ascii="Times New Roman" w:hAnsi="Times New Roman" w:cs="Times New Roman"/>
          <w:kern w:val="0"/>
          <w:sz w:val="24"/>
          <w:szCs w:val="24"/>
        </w:rPr>
        <w:t>14</w:t>
      </w:r>
      <w:r>
        <w:rPr>
          <w:rFonts w:hint="eastAsia" w:ascii="Times New Roman" w:hAnsi="Times New Roman" w:cs="Times New Roman"/>
          <w:kern w:val="0"/>
          <w:sz w:val="24"/>
          <w:szCs w:val="24"/>
        </w:rPr>
        <w:t>）进行计算，计算结果圆整（四舍五入）至小数点后两位：</w:t>
      </w:r>
    </w:p>
    <w:p>
      <w:pPr>
        <w:ind w:firstLine="360" w:firstLineChars="150"/>
        <w:rPr>
          <w:rFonts w:hAnsi="Cambria Math"/>
          <w:iCs/>
          <w:sz w:val="24"/>
          <w:szCs w:val="24"/>
        </w:rPr>
      </w:pPr>
    </w:p>
    <w:p>
      <w:pPr>
        <w:ind w:firstLine="3000" w:firstLineChars="1250"/>
        <w:rPr>
          <w:rFonts w:hint="eastAsia" w:ascii="Cambria Math" w:hAnsi="Cambria Math"/>
          <w:sz w:val="24"/>
          <w:szCs w:val="24"/>
        </w:rPr>
      </w:pPr>
      <m:oMath>
        <m:r>
          <m:rPr>
            <m:sty m:val="p"/>
          </m:rPr>
          <w:rPr>
            <w:rFonts w:ascii="Cambria Math" w:hAnsi="Cambria Math"/>
            <w:sz w:val="24"/>
            <w:szCs w:val="28"/>
          </w:rPr>
          <m:t xml:space="preserve">     </m:t>
        </m:r>
        <m:sSub>
          <m:sSubPr>
            <m:ctrlPr>
              <w:rPr>
                <w:rFonts w:ascii="Cambria Math" w:hAnsi="Cambria Math"/>
                <w:i/>
                <w:iCs/>
                <w:sz w:val="24"/>
                <w:szCs w:val="24"/>
              </w:rPr>
            </m:ctrlPr>
          </m:sSubPr>
          <m:e>
            <m:r>
              <m:rPr/>
              <w:rPr>
                <w:rFonts w:ascii="Cambria Math" w:hAnsi="Cambria Math"/>
                <w:sz w:val="24"/>
                <w:szCs w:val="24"/>
              </w:rPr>
              <m:t>C</m:t>
            </m:r>
            <m:ctrlPr>
              <w:rPr>
                <w:rFonts w:ascii="Cambria Math" w:hAnsi="Cambria Math"/>
                <w:i/>
                <w:iCs/>
                <w:sz w:val="24"/>
                <w:szCs w:val="24"/>
              </w:rPr>
            </m:ctrlPr>
          </m:e>
          <m:sub>
            <m:r>
              <m:rPr>
                <m:sty m:val="p"/>
              </m:rPr>
              <w:rPr>
                <w:rFonts w:ascii="Cambria Math" w:hAnsi="Cambria Math"/>
                <w:sz w:val="24"/>
                <w:szCs w:val="24"/>
              </w:rPr>
              <m:t>雪地轮胎强度</m:t>
            </m:r>
            <m:ctrlPr>
              <w:rPr>
                <w:rFonts w:ascii="Cambria Math" w:hAnsi="Cambria Math"/>
                <w:i/>
                <w:iCs/>
                <w:sz w:val="24"/>
                <w:szCs w:val="24"/>
              </w:rPr>
            </m:ctrlPr>
          </m:sub>
        </m:sSub>
        <m:r>
          <m:rPr>
            <m:sty m:val="p"/>
          </m:rPr>
          <w:rPr>
            <w:rFonts w:ascii="Cambria Math" w:hAnsi="Cambria Math"/>
            <w:sz w:val="24"/>
            <w:szCs w:val="24"/>
          </w:rPr>
          <m:t>=</m:t>
        </m:r>
        <m:f>
          <m:fPr>
            <m:ctrlPr>
              <w:rPr>
                <w:rFonts w:ascii="Cambria Math" w:hAnsi="Cambria Math" w:cs="Times New Roman"/>
                <w:sz w:val="24"/>
                <w:szCs w:val="24"/>
              </w:rPr>
            </m:ctrlPr>
          </m:fPr>
          <m:num>
            <m:sSub>
              <m:sSubPr>
                <m:ctrlPr>
                  <w:rPr>
                    <w:rFonts w:ascii="Cambria Math" w:hAnsi="Cambria Math" w:cs="Times New Roman"/>
                    <w:i/>
                    <w:iCs/>
                    <w:sz w:val="24"/>
                    <w:szCs w:val="24"/>
                  </w:rPr>
                </m:ctrlPr>
              </m:sSubPr>
              <m:e>
                <m:r>
                  <m:rPr/>
                  <w:rPr>
                    <w:rFonts w:ascii="Cambria Math" w:hAnsi="Cambria Math"/>
                    <w:sz w:val="24"/>
                    <w:szCs w:val="24"/>
                  </w:rPr>
                  <m:t>C</m:t>
                </m:r>
                <m:ctrlPr>
                  <w:rPr>
                    <w:rFonts w:ascii="Cambria Math" w:hAnsi="Cambria Math" w:cs="Times New Roman"/>
                    <w:i/>
                    <w:iCs/>
                    <w:sz w:val="24"/>
                    <w:szCs w:val="24"/>
                  </w:rPr>
                </m:ctrlPr>
              </m:e>
              <m:sub>
                <m:r>
                  <m:rPr>
                    <m:nor/>
                    <m:sty m:val="p"/>
                  </m:rPr>
                  <w:rPr>
                    <w:rFonts w:ascii="Cambria Math" w:hAnsi="Cambria Math" w:cs="Times New Roman"/>
                    <w:sz w:val="24"/>
                    <w:szCs w:val="24"/>
                  </w:rPr>
                  <m:t>雪地轮胎</m:t>
                </m:r>
                <m:ctrlPr>
                  <w:rPr>
                    <w:rFonts w:ascii="Cambria Math" w:hAnsi="Cambria Math" w:cs="Times New Roman"/>
                    <w:i/>
                    <w:iCs/>
                    <w:sz w:val="24"/>
                    <w:szCs w:val="24"/>
                  </w:rPr>
                </m:ctrlPr>
              </m:sub>
            </m:sSub>
            <m:ctrlPr>
              <w:rPr>
                <w:rFonts w:ascii="Cambria Math" w:hAnsi="Cambria Math" w:cs="Times New Roman"/>
                <w:sz w:val="24"/>
                <w:szCs w:val="24"/>
              </w:rPr>
            </m:ctrlPr>
          </m:num>
          <m:den>
            <m:sSub>
              <m:sSubPr>
                <m:ctrlPr>
                  <w:rPr>
                    <w:rFonts w:ascii="Cambria Math" w:hAnsi="Cambria Math" w:cs="Times New Roman"/>
                    <w:i/>
                    <w:iCs/>
                    <w:kern w:val="0"/>
                    <w:sz w:val="24"/>
                    <w:szCs w:val="24"/>
                  </w:rPr>
                </m:ctrlPr>
              </m:sSubPr>
              <m:e>
                <m:r>
                  <m:rPr/>
                  <w:rPr>
                    <w:rFonts w:ascii="Cambria Math" w:hAnsi="Cambria Math" w:cs="Times New Roman"/>
                    <w:kern w:val="0"/>
                    <w:sz w:val="24"/>
                    <w:szCs w:val="24"/>
                  </w:rPr>
                  <m:t>L</m:t>
                </m:r>
                <m:ctrlPr>
                  <w:rPr>
                    <w:rFonts w:ascii="Cambria Math" w:hAnsi="Cambria Math" w:cs="Times New Roman"/>
                    <w:i/>
                    <w:iCs/>
                    <w:kern w:val="0"/>
                    <w:sz w:val="24"/>
                    <w:szCs w:val="24"/>
                  </w:rPr>
                </m:ctrlPr>
              </m:e>
              <m:sub>
                <m:r>
                  <m:rPr>
                    <m:sty m:val="p"/>
                  </m:rPr>
                  <w:rPr>
                    <w:rFonts w:ascii="Cambria Math" w:hAnsi="Cambria Math" w:cs="Times New Roman"/>
                    <w:kern w:val="0"/>
                    <w:sz w:val="24"/>
                    <w:szCs w:val="24"/>
                  </w:rPr>
                  <m:t>里程</m:t>
                </m:r>
                <m:ctrlPr>
                  <w:rPr>
                    <w:rFonts w:ascii="Cambria Math" w:hAnsi="Cambria Math" w:cs="Times New Roman"/>
                    <w:i/>
                    <w:iCs/>
                    <w:kern w:val="0"/>
                    <w:sz w:val="24"/>
                    <w:szCs w:val="24"/>
                  </w:rPr>
                </m:ctrlPr>
              </m:sub>
            </m:sSub>
            <m:ctrlPr>
              <w:rPr>
                <w:rFonts w:ascii="Cambria Math" w:hAnsi="Cambria Math" w:cs="Times New Roman"/>
                <w:sz w:val="24"/>
                <w:szCs w:val="24"/>
              </w:rPr>
            </m:ctrlPr>
          </m:den>
        </m:f>
      </m:oMath>
      <w:r>
        <w:rPr>
          <w:rFonts w:ascii="Cambria Math" w:hAnsi="Cambria Math"/>
          <w:sz w:val="24"/>
          <w:szCs w:val="24"/>
        </w:rPr>
        <w:t xml:space="preserve">                         </w:t>
      </w:r>
      <w:r>
        <w:rPr>
          <w:rFonts w:hint="eastAsia" w:ascii="Cambria Math" w:hAnsi="Cambria Math"/>
          <w:sz w:val="24"/>
          <w:szCs w:val="24"/>
        </w:rPr>
        <w:t xml:space="preserve">     </w:t>
      </w:r>
      <w:r>
        <w:rPr>
          <w:rFonts w:hint="eastAsia" w:ascii="Times New Roman"/>
          <w:sz w:val="24"/>
          <w:szCs w:val="24"/>
        </w:rPr>
        <w:t>（</w:t>
      </w:r>
      <w:r>
        <w:rPr>
          <w:rFonts w:ascii="Times New Roman"/>
          <w:sz w:val="24"/>
          <w:szCs w:val="24"/>
        </w:rPr>
        <w:t>14</w:t>
      </w:r>
      <w:r>
        <w:rPr>
          <w:rFonts w:hint="eastAsia" w:ascii="Times New Roman"/>
          <w:sz w:val="24"/>
          <w:szCs w:val="24"/>
        </w:rPr>
        <w:t>）</w:t>
      </w:r>
    </w:p>
    <w:p>
      <w:pPr>
        <w:spacing w:line="360" w:lineRule="auto"/>
        <w:rPr>
          <w:rFonts w:ascii="Times New Roman" w:hAnsi="Times New Roman" w:cs="Times New Roman"/>
          <w:kern w:val="0"/>
          <w:sz w:val="24"/>
          <w:szCs w:val="24"/>
        </w:rPr>
      </w:pPr>
      <w:r>
        <w:rPr>
          <w:rFonts w:ascii="Times New Roman" w:hAnsi="Times New Roman" w:cs="Times New Roman"/>
          <w:kern w:val="0"/>
          <w:sz w:val="24"/>
          <w:szCs w:val="24"/>
        </w:rPr>
        <w:t xml:space="preserve">    </w:t>
      </w:r>
      <w:r>
        <w:rPr>
          <w:rFonts w:hint="eastAsia" w:ascii="Times New Roman" w:hAnsi="Times New Roman" w:cs="Times New Roman"/>
          <w:kern w:val="0"/>
          <w:sz w:val="24"/>
          <w:szCs w:val="24"/>
        </w:rPr>
        <w:t>式中：</w:t>
      </w:r>
    </w:p>
    <w:p>
      <w:pPr>
        <w:spacing w:line="360" w:lineRule="auto"/>
        <w:ind w:firstLine="420" w:firstLineChars="175"/>
        <w:rPr>
          <w:rFonts w:ascii="Times New Roman" w:hAnsi="Times New Roman" w:cs="Times New Roman"/>
          <w:kern w:val="0"/>
          <w:sz w:val="24"/>
          <w:szCs w:val="24"/>
        </w:rPr>
      </w:pPr>
      <m:oMath>
        <m:sSub>
          <m:sSubPr>
            <m:ctrlPr>
              <w:rPr>
                <w:rFonts w:ascii="Cambria Math" w:hAnsi="Cambria Math"/>
                <w:i/>
                <w:iCs/>
                <w:sz w:val="24"/>
                <w:szCs w:val="24"/>
              </w:rPr>
            </m:ctrlPr>
          </m:sSubPr>
          <m:e>
            <m:r>
              <m:rPr/>
              <w:rPr>
                <w:rFonts w:ascii="Cambria Math" w:hAnsi="Cambria Math"/>
                <w:sz w:val="24"/>
                <w:szCs w:val="24"/>
              </w:rPr>
              <m:t>C</m:t>
            </m:r>
            <m:ctrlPr>
              <w:rPr>
                <w:rFonts w:ascii="Cambria Math" w:hAnsi="Cambria Math"/>
                <w:i/>
                <w:iCs/>
                <w:sz w:val="24"/>
                <w:szCs w:val="24"/>
              </w:rPr>
            </m:ctrlPr>
          </m:e>
          <m:sub>
            <m:r>
              <m:rPr>
                <m:sty m:val="p"/>
              </m:rPr>
              <w:rPr>
                <w:rFonts w:ascii="Cambria Math" w:hAnsi="Cambria Math"/>
                <w:sz w:val="24"/>
                <w:szCs w:val="24"/>
              </w:rPr>
              <m:t>雪地轮胎强度</m:t>
            </m:r>
            <m:ctrlPr>
              <w:rPr>
                <w:rFonts w:ascii="Cambria Math" w:hAnsi="Cambria Math"/>
                <w:i/>
                <w:iCs/>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碳足迹，单位为千克二氧化碳当量每千米（kgCO</w:t>
      </w:r>
      <w:r>
        <w:rPr>
          <w:rFonts w:hint="eastAsia" w:ascii="Times New Roman" w:hAnsi="Times New Roman" w:cs="Times New Roman"/>
          <w:kern w:val="0"/>
          <w:sz w:val="24"/>
          <w:szCs w:val="24"/>
          <w:vertAlign w:val="subscript"/>
        </w:rPr>
        <w:t>2</w:t>
      </w:r>
      <w:r>
        <w:rPr>
          <w:rFonts w:hint="eastAsia" w:ascii="Times New Roman" w:hAnsi="Times New Roman" w:cs="Times New Roman"/>
          <w:kern w:val="0"/>
          <w:sz w:val="24"/>
          <w:szCs w:val="24"/>
        </w:rPr>
        <w:t>e</w:t>
      </w:r>
      <w:r>
        <w:rPr>
          <w:rFonts w:ascii="Times New Roman" w:hAnsi="Times New Roman" w:cs="Times New Roman"/>
          <w:kern w:val="0"/>
          <w:sz w:val="24"/>
          <w:szCs w:val="24"/>
        </w:rPr>
        <w:t>/km</w:t>
      </w:r>
      <w:r>
        <w:rPr>
          <w:rFonts w:hint="eastAsia" w:ascii="Times New Roman" w:hAnsi="Times New Roman" w:cs="Times New Roman"/>
          <w:kern w:val="0"/>
          <w:sz w:val="24"/>
          <w:szCs w:val="24"/>
        </w:rPr>
        <w:t>）；</w:t>
      </w:r>
    </w:p>
    <w:p>
      <w:pPr>
        <w:spacing w:line="360" w:lineRule="auto"/>
        <w:ind w:firstLine="420" w:firstLineChars="175"/>
        <w:rPr>
          <w:rFonts w:ascii="Times New Roman" w:hAnsi="Times New Roman" w:cs="Times New Roman"/>
          <w:kern w:val="0"/>
          <w:sz w:val="24"/>
          <w:szCs w:val="24"/>
        </w:rPr>
      </w:pPr>
      <m:oMath>
        <m:sSub>
          <m:sSubPr>
            <m:ctrlPr>
              <w:rPr>
                <w:rFonts w:ascii="Cambria Math" w:hAnsi="Cambria Math" w:cs="Times New Roman"/>
                <w:i/>
                <w:iCs/>
                <w:kern w:val="0"/>
                <w:sz w:val="24"/>
                <w:szCs w:val="24"/>
              </w:rPr>
            </m:ctrlPr>
          </m:sSubPr>
          <m:e>
            <m:r>
              <m:rPr/>
              <w:rPr>
                <w:rFonts w:ascii="Cambria Math" w:hAnsi="Cambria Math" w:cs="Times New Roman"/>
                <w:kern w:val="0"/>
                <w:sz w:val="24"/>
                <w:szCs w:val="24"/>
              </w:rPr>
              <m:t>L</m:t>
            </m:r>
            <m:ctrlPr>
              <w:rPr>
                <w:rFonts w:ascii="Cambria Math" w:hAnsi="Cambria Math" w:cs="Times New Roman"/>
                <w:i/>
                <w:iCs/>
                <w:kern w:val="0"/>
                <w:sz w:val="24"/>
                <w:szCs w:val="24"/>
              </w:rPr>
            </m:ctrlPr>
          </m:e>
          <m:sub>
            <m:r>
              <m:rPr>
                <m:sty m:val="p"/>
              </m:rPr>
              <w:rPr>
                <w:rFonts w:ascii="Cambria Math" w:hAnsi="Cambria Math" w:cs="Times New Roman"/>
                <w:kern w:val="0"/>
                <w:sz w:val="24"/>
                <w:szCs w:val="24"/>
              </w:rPr>
              <m:t>里程</m:t>
            </m:r>
            <m:ctrlPr>
              <w:rPr>
                <w:rFonts w:ascii="Cambria Math" w:hAnsi="Cambria Math" w:cs="Times New Roman"/>
                <w:i/>
                <w:iCs/>
                <w:kern w:val="0"/>
                <w:sz w:val="24"/>
                <w:szCs w:val="24"/>
              </w:rPr>
            </m:ctrlPr>
          </m:sub>
        </m:sSub>
      </m:oMath>
      <w:r>
        <w:rPr>
          <w:rFonts w:ascii="Times New Roman" w:hAnsi="Times New Roman" w:cs="Times New Roman"/>
          <w:kern w:val="0"/>
          <w:sz w:val="24"/>
          <w:szCs w:val="24"/>
        </w:rPr>
        <w:t>——雪地轮胎产品</w:t>
      </w:r>
      <w:r>
        <w:rPr>
          <w:rFonts w:hint="eastAsia" w:ascii="Times New Roman" w:hAnsi="Times New Roman" w:cs="Times New Roman"/>
          <w:kern w:val="0"/>
          <w:sz w:val="24"/>
          <w:szCs w:val="24"/>
        </w:rPr>
        <w:t>生命周期</w:t>
      </w:r>
      <w:r>
        <w:rPr>
          <w:rFonts w:ascii="Times New Roman" w:hAnsi="Times New Roman" w:cs="Times New Roman"/>
          <w:kern w:val="0"/>
          <w:sz w:val="24"/>
          <w:szCs w:val="24"/>
        </w:rPr>
        <w:t>使用里程</w:t>
      </w:r>
      <w:r>
        <w:rPr>
          <w:rFonts w:hint="eastAsia" w:ascii="Times New Roman" w:hAnsi="Times New Roman" w:cs="Times New Roman"/>
          <w:kern w:val="0"/>
          <w:sz w:val="24"/>
          <w:szCs w:val="24"/>
        </w:rPr>
        <w:t>，单位为千米（km），宜使用现场数据</w:t>
      </w:r>
      <w:r>
        <w:rPr>
          <w:rFonts w:ascii="Times New Roman" w:hAnsi="Times New Roman" w:cs="Times New Roman"/>
          <w:kern w:val="0"/>
          <w:sz w:val="24"/>
          <w:szCs w:val="24"/>
        </w:rPr>
        <w:t>（4.8）</w:t>
      </w:r>
      <w:r>
        <w:rPr>
          <w:rFonts w:hint="eastAsia" w:ascii="Times New Roman" w:hAnsi="Times New Roman" w:cs="Times New Roman"/>
          <w:kern w:val="0"/>
          <w:sz w:val="24"/>
          <w:szCs w:val="24"/>
        </w:rPr>
        <w:t>，也可参见附录B 表 B.1。</w:t>
      </w:r>
    </w:p>
    <w:p>
      <w:pPr>
        <w:ind w:firstLine="420" w:firstLineChars="175"/>
        <w:rPr>
          <w:rFonts w:ascii="Times New Roman" w:hAnsi="Times New Roman" w:cs="Times New Roman"/>
          <w:kern w:val="0"/>
          <w:sz w:val="24"/>
          <w:szCs w:val="24"/>
        </w:rPr>
      </w:pPr>
    </w:p>
    <w:p>
      <w:pPr>
        <w:pStyle w:val="23"/>
        <w:numPr>
          <w:ilvl w:val="1"/>
          <w:numId w:val="2"/>
        </w:numPr>
        <w:spacing w:line="360" w:lineRule="auto"/>
        <w:ind w:firstLineChars="0"/>
        <w:rPr>
          <w:rFonts w:ascii="Times New Roman"/>
          <w:sz w:val="24"/>
          <w:szCs w:val="24"/>
        </w:rPr>
      </w:pPr>
      <w:r>
        <w:rPr>
          <w:rFonts w:ascii="Times New Roman"/>
          <w:sz w:val="24"/>
          <w:szCs w:val="24"/>
        </w:rPr>
        <w:t>不确定度评定方法</w:t>
      </w:r>
    </w:p>
    <w:p>
      <w:pPr>
        <w:pStyle w:val="23"/>
        <w:spacing w:line="360" w:lineRule="auto"/>
        <w:ind w:left="420" w:firstLine="0" w:firstLineChars="0"/>
        <w:rPr>
          <w:rFonts w:ascii="Times New Roman"/>
          <w:sz w:val="24"/>
          <w:szCs w:val="24"/>
        </w:rPr>
      </w:pPr>
      <w:r>
        <w:rPr>
          <w:rFonts w:ascii="Times New Roman"/>
          <w:sz w:val="24"/>
          <w:szCs w:val="24"/>
        </w:rPr>
        <w:t xml:space="preserve"> 参见附录F。</w:t>
      </w:r>
    </w:p>
    <w:p>
      <w:pPr>
        <w:pStyle w:val="2"/>
        <w:numPr>
          <w:ilvl w:val="0"/>
          <w:numId w:val="2"/>
        </w:numPr>
        <w:tabs>
          <w:tab w:val="left" w:pos="284"/>
          <w:tab w:val="left" w:pos="426"/>
        </w:tabs>
        <w:spacing w:before="240" w:beforeLines="100" w:after="240" w:afterLines="100"/>
        <w:ind w:left="0" w:firstLine="0"/>
        <w:rPr>
          <w:rFonts w:ascii="Times New Roman" w:hAnsi="Times New Roman" w:cs="Times New Roman"/>
        </w:rPr>
      </w:pPr>
      <w:bookmarkStart w:id="24" w:name="_Toc11022"/>
      <w:r>
        <w:rPr>
          <w:rFonts w:hint="eastAsia" w:ascii="Times New Roman" w:hAnsi="Times New Roman" w:cs="Times New Roman"/>
        </w:rPr>
        <w:t>编制依据</w:t>
      </w:r>
      <w:bookmarkEnd w:id="24"/>
    </w:p>
    <w:p>
      <w:pPr>
        <w:pStyle w:val="23"/>
        <w:spacing w:line="360" w:lineRule="auto"/>
        <w:ind w:firstLineChars="175"/>
        <w:rPr>
          <w:rFonts w:ascii="黑体" w:hAnsi="黑体" w:eastAsia="黑体"/>
          <w:bCs/>
          <w:kern w:val="44"/>
          <w:sz w:val="28"/>
          <w:szCs w:val="28"/>
        </w:rPr>
      </w:pPr>
      <w:r>
        <w:rPr>
          <w:rFonts w:hint="eastAsia" w:ascii="Times New Roman" w:eastAsiaTheme="minorEastAsia"/>
          <w:sz w:val="24"/>
          <w:szCs w:val="24"/>
        </w:rPr>
        <w:t>按照本规范给出的</w:t>
      </w:r>
      <w:r>
        <w:rPr>
          <w:rFonts w:ascii="Times New Roman" w:eastAsiaTheme="minorEastAsia"/>
          <w:sz w:val="24"/>
          <w:szCs w:val="24"/>
        </w:rPr>
        <w:t>雪地轮胎产品</w:t>
      </w:r>
      <w:r>
        <w:rPr>
          <w:rFonts w:hint="eastAsia" w:ascii="Times New Roman" w:eastAsiaTheme="minorEastAsia"/>
          <w:sz w:val="24"/>
          <w:szCs w:val="24"/>
        </w:rPr>
        <w:t>碳足迹核算原则、范围、数据要求及计算公式核算其碳足迹，</w:t>
      </w:r>
      <w:r>
        <w:rPr>
          <w:rFonts w:ascii="Times New Roman" w:eastAsiaTheme="minorEastAsia"/>
          <w:sz w:val="24"/>
          <w:szCs w:val="24"/>
        </w:rPr>
        <w:t>评估数据质量（</w:t>
      </w:r>
      <w:r>
        <w:rPr>
          <w:rFonts w:hint="eastAsia" w:ascii="Times New Roman" w:eastAsiaTheme="minorEastAsia"/>
          <w:sz w:val="24"/>
          <w:szCs w:val="24"/>
        </w:rPr>
        <w:t>附录</w:t>
      </w:r>
      <w:r>
        <w:rPr>
          <w:rFonts w:ascii="Times New Roman" w:eastAsiaTheme="minorEastAsia"/>
          <w:sz w:val="24"/>
          <w:szCs w:val="24"/>
        </w:rPr>
        <w:t>E），计算不确定度（</w:t>
      </w:r>
      <w:r>
        <w:rPr>
          <w:rFonts w:hint="eastAsia" w:ascii="Times New Roman" w:eastAsiaTheme="minorEastAsia"/>
          <w:sz w:val="24"/>
          <w:szCs w:val="24"/>
        </w:rPr>
        <w:t>附录</w:t>
      </w:r>
      <w:r>
        <w:rPr>
          <w:rFonts w:ascii="Times New Roman" w:eastAsiaTheme="minorEastAsia"/>
          <w:sz w:val="24"/>
          <w:szCs w:val="24"/>
        </w:rPr>
        <w:t>F），</w:t>
      </w:r>
      <w:r>
        <w:rPr>
          <w:rFonts w:hint="eastAsia" w:ascii="Times New Roman" w:eastAsiaTheme="minorEastAsia"/>
          <w:sz w:val="24"/>
          <w:szCs w:val="24"/>
        </w:rPr>
        <w:t>并编制核算报告</w:t>
      </w:r>
      <w:r>
        <w:rPr>
          <w:rFonts w:ascii="Times New Roman" w:eastAsiaTheme="minorEastAsia"/>
          <w:sz w:val="24"/>
          <w:szCs w:val="24"/>
        </w:rPr>
        <w:t>（</w:t>
      </w:r>
      <w:r>
        <w:rPr>
          <w:rFonts w:hint="eastAsia" w:ascii="Times New Roman" w:eastAsiaTheme="minorEastAsia"/>
          <w:sz w:val="24"/>
          <w:szCs w:val="24"/>
        </w:rPr>
        <w:t>附录</w:t>
      </w:r>
      <w:r>
        <w:rPr>
          <w:rFonts w:ascii="Times New Roman" w:eastAsiaTheme="minorEastAsia"/>
          <w:sz w:val="24"/>
          <w:szCs w:val="24"/>
        </w:rPr>
        <w:t>C）</w:t>
      </w:r>
      <w:r>
        <w:rPr>
          <w:rFonts w:hint="eastAsia" w:ascii="Times New Roman" w:eastAsiaTheme="minorEastAsia"/>
          <w:sz w:val="24"/>
          <w:szCs w:val="24"/>
        </w:rPr>
        <w:t>。</w:t>
      </w:r>
      <w:bookmarkStart w:id="25" w:name="_Toc12289659"/>
      <w:r>
        <w:rPr>
          <w:rFonts w:hint="eastAsia" w:ascii="黑体" w:hAnsi="黑体" w:eastAsia="黑体"/>
          <w:bCs/>
          <w:kern w:val="44"/>
          <w:sz w:val="28"/>
          <w:szCs w:val="28"/>
        </w:rPr>
        <w:br w:type="page"/>
      </w:r>
    </w:p>
    <w:p>
      <w:pPr>
        <w:widowControl/>
        <w:jc w:val="left"/>
      </w:pPr>
      <w:r>
        <w:rPr>
          <w:rFonts w:hint="eastAsia" w:ascii="黑体" w:hAnsi="黑体" w:eastAsia="黑体" w:cs="Times New Roman"/>
          <w:bCs/>
          <w:kern w:val="44"/>
          <w:sz w:val="28"/>
          <w:szCs w:val="28"/>
        </w:rPr>
        <w:t>附录A</w:t>
      </w:r>
    </w:p>
    <w:p>
      <w:pPr>
        <w:pStyle w:val="3"/>
        <w:spacing w:line="221" w:lineRule="auto"/>
        <w:jc w:val="center"/>
        <w:outlineLvl w:val="0"/>
        <w:rPr>
          <w:rFonts w:ascii="黑体" w:hAnsi="黑体" w:eastAsia="黑体" w:cs="黑体"/>
          <w:bCs/>
          <w:spacing w:val="-1"/>
          <w:sz w:val="28"/>
          <w:szCs w:val="28"/>
          <w:lang w:val="zh-CN" w:eastAsia="zh-CN"/>
        </w:rPr>
      </w:pPr>
      <w:bookmarkStart w:id="26" w:name="_Toc17855"/>
      <w:r>
        <w:rPr>
          <w:rFonts w:hint="eastAsia" w:ascii="黑体" w:hAnsi="黑体" w:eastAsia="黑体" w:cs="黑体"/>
          <w:bCs/>
          <w:spacing w:val="-1"/>
          <w:sz w:val="28"/>
          <w:szCs w:val="28"/>
          <w:lang w:val="zh-CN" w:eastAsia="zh-CN"/>
        </w:rPr>
        <w:t>附录A</w:t>
      </w:r>
    </w:p>
    <w:p>
      <w:pPr>
        <w:pStyle w:val="3"/>
        <w:spacing w:line="221" w:lineRule="auto"/>
        <w:jc w:val="center"/>
        <w:outlineLvl w:val="0"/>
        <w:rPr>
          <w:rFonts w:ascii="黑体" w:hAnsi="黑体" w:eastAsia="黑体" w:cs="黑体"/>
          <w:bCs/>
          <w:spacing w:val="-1"/>
          <w:sz w:val="28"/>
          <w:szCs w:val="28"/>
          <w:lang w:val="zh-CN" w:eastAsia="zh-CN"/>
        </w:rPr>
      </w:pPr>
      <w:r>
        <w:rPr>
          <w:rFonts w:hint="eastAsia" w:ascii="黑体" w:hAnsi="黑体" w:eastAsia="黑体" w:cs="黑体"/>
          <w:bCs/>
          <w:spacing w:val="-1"/>
          <w:sz w:val="28"/>
          <w:szCs w:val="28"/>
          <w:lang w:val="zh-CN" w:eastAsia="zh-CN"/>
        </w:rPr>
        <w:t>（</w:t>
      </w:r>
      <w:r>
        <w:rPr>
          <w:rFonts w:ascii="黑体" w:hAnsi="黑体" w:eastAsia="黑体" w:cs="黑体"/>
          <w:bCs/>
          <w:spacing w:val="-1"/>
          <w:sz w:val="28"/>
          <w:szCs w:val="28"/>
          <w:lang w:eastAsia="zh-CN"/>
        </w:rPr>
        <w:t>资料</w:t>
      </w:r>
      <w:r>
        <w:rPr>
          <w:rFonts w:hint="eastAsia" w:ascii="黑体" w:hAnsi="黑体" w:eastAsia="黑体" w:cs="黑体"/>
          <w:bCs/>
          <w:spacing w:val="-1"/>
          <w:sz w:val="28"/>
          <w:szCs w:val="28"/>
          <w:lang w:val="zh-CN" w:eastAsia="zh-CN"/>
        </w:rPr>
        <w:t>性）</w:t>
      </w:r>
      <w:bookmarkEnd w:id="26"/>
    </w:p>
    <w:p>
      <w:pPr>
        <w:pStyle w:val="3"/>
        <w:spacing w:line="221" w:lineRule="auto"/>
        <w:jc w:val="center"/>
        <w:outlineLvl w:val="0"/>
        <w:rPr>
          <w:rFonts w:ascii="黑体" w:hAnsi="黑体" w:eastAsia="黑体" w:cs="黑体"/>
          <w:bCs/>
          <w:spacing w:val="-1"/>
          <w:sz w:val="28"/>
          <w:szCs w:val="28"/>
          <w:lang w:val="zh-CN" w:eastAsia="zh-CN"/>
        </w:rPr>
      </w:pPr>
      <w:bookmarkStart w:id="27" w:name="bookmark13"/>
      <w:bookmarkEnd w:id="27"/>
      <w:bookmarkStart w:id="28" w:name="_Toc2991"/>
      <w:r>
        <w:rPr>
          <w:rFonts w:ascii="黑体" w:hAnsi="黑体" w:eastAsia="黑体" w:cs="黑体"/>
          <w:bCs/>
          <w:spacing w:val="-1"/>
          <w:sz w:val="28"/>
          <w:szCs w:val="28"/>
          <w:lang w:eastAsia="zh-CN"/>
        </w:rPr>
        <w:t>雪地轮胎产品</w:t>
      </w:r>
      <w:r>
        <w:rPr>
          <w:rFonts w:hint="eastAsia" w:ascii="黑体" w:hAnsi="黑体" w:eastAsia="黑体" w:cs="黑体"/>
          <w:bCs/>
          <w:spacing w:val="-1"/>
          <w:sz w:val="28"/>
          <w:szCs w:val="28"/>
          <w:lang w:val="zh-CN" w:eastAsia="zh-CN"/>
        </w:rPr>
        <w:t>碳足迹</w:t>
      </w:r>
      <w:r>
        <w:rPr>
          <w:rFonts w:ascii="黑体" w:hAnsi="黑体" w:eastAsia="黑体" w:cs="黑体"/>
          <w:bCs/>
          <w:spacing w:val="-1"/>
          <w:sz w:val="28"/>
          <w:szCs w:val="28"/>
          <w:lang w:eastAsia="zh-CN"/>
        </w:rPr>
        <w:t>量化</w:t>
      </w:r>
      <w:r>
        <w:rPr>
          <w:rFonts w:hint="eastAsia" w:ascii="黑体" w:hAnsi="黑体" w:eastAsia="黑体" w:cs="黑体"/>
          <w:bCs/>
          <w:spacing w:val="-1"/>
          <w:sz w:val="28"/>
          <w:szCs w:val="28"/>
          <w:lang w:val="zh-CN" w:eastAsia="zh-CN"/>
        </w:rPr>
        <w:t>数据收集表</w:t>
      </w:r>
      <w:bookmarkEnd w:id="28"/>
    </w:p>
    <w:p>
      <w:pPr>
        <w:spacing w:before="296" w:line="227" w:lineRule="auto"/>
        <w:rPr>
          <w:rFonts w:hint="eastAsia" w:ascii="宋体" w:hAnsi="宋体" w:eastAsia="宋体" w:cs="宋体"/>
          <w:spacing w:val="5"/>
          <w:sz w:val="22"/>
        </w:rPr>
      </w:pPr>
      <w:r>
        <w:rPr>
          <w:rFonts w:cs="宋体" w:asciiTheme="minorEastAsia" w:hAnsiTheme="minorEastAsia"/>
          <w:spacing w:val="9"/>
          <w:sz w:val="24"/>
          <w:szCs w:val="24"/>
        </w:rPr>
        <w:t>初级数据采集表见表</w:t>
      </w:r>
      <w:r>
        <w:rPr>
          <w:rFonts w:ascii="Times New Roman" w:hAnsi="Times New Roman" w:cs="Times New Roman"/>
          <w:spacing w:val="9"/>
          <w:sz w:val="24"/>
          <w:szCs w:val="24"/>
        </w:rPr>
        <w:t>A.1</w:t>
      </w:r>
      <w:r>
        <w:rPr>
          <w:rFonts w:ascii="宋体" w:hAnsi="宋体" w:eastAsia="宋体" w:cs="宋体"/>
          <w:spacing w:val="5"/>
          <w:sz w:val="22"/>
        </w:rPr>
        <w:t>。</w:t>
      </w:r>
    </w:p>
    <w:p>
      <w:pPr>
        <w:pStyle w:val="3"/>
        <w:spacing w:before="25" w:line="229" w:lineRule="auto"/>
        <w:ind w:left="3916"/>
        <w:rPr>
          <w:rFonts w:ascii="黑体" w:hAnsi="黑体" w:eastAsia="黑体"/>
        </w:rPr>
      </w:pPr>
      <w:r>
        <w:rPr>
          <w:rFonts w:ascii="黑体" w:hAnsi="黑体" w:eastAsia="黑体"/>
          <w:spacing w:val="7"/>
        </w:rPr>
        <w:t>表A.1  初级数据采集表</w:t>
      </w:r>
    </w:p>
    <w:p>
      <w:pPr>
        <w:spacing w:line="129" w:lineRule="exact"/>
      </w:pPr>
    </w:p>
    <w:tbl>
      <w:tblPr>
        <w:tblStyle w:val="29"/>
        <w:tblW w:w="4990" w:type="pct"/>
        <w:tblInd w:w="0"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1832"/>
        <w:gridCol w:w="1970"/>
        <w:gridCol w:w="1112"/>
        <w:gridCol w:w="1093"/>
        <w:gridCol w:w="1429"/>
        <w:gridCol w:w="1065"/>
        <w:gridCol w:w="1077"/>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restart"/>
            <w:tcBorders>
              <w:bottom w:val="nil"/>
            </w:tcBorders>
            <w:vAlign w:val="center"/>
          </w:tcPr>
          <w:p>
            <w:pPr>
              <w:pStyle w:val="28"/>
              <w:jc w:val="center"/>
            </w:pPr>
            <w:r>
              <w:rPr>
                <w:spacing w:val="-5"/>
              </w:rPr>
              <w:t>企业信息</w:t>
            </w: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企业名称</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所在省份</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企业地址</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数据统计周期</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联系人及联系方式</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restart"/>
            <w:tcBorders>
              <w:bottom w:val="nil"/>
            </w:tcBorders>
            <w:vAlign w:val="center"/>
          </w:tcPr>
          <w:p>
            <w:pPr>
              <w:pStyle w:val="28"/>
              <w:jc w:val="center"/>
            </w:pPr>
            <w:r>
              <w:rPr>
                <w:spacing w:val="-5"/>
              </w:rPr>
              <w:t>产品信息</w:t>
            </w: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品牌</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产品名称</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产品描述</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产品规格</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负荷指数或层级</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速度符号</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花纹代号</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w:t>
            </w:r>
            <w:r>
              <w:rPr>
                <w:rFonts w:hint="eastAsia" w:ascii="Times New Roman" w:hAnsi="Times New Roman" w:eastAsia="Times New Roman" w:cs="Times New Roman"/>
                <w:position w:val="1"/>
                <w:sz w:val="18"/>
                <w:szCs w:val="18"/>
              </w:rPr>
              <w:t>质保期</w:t>
            </w:r>
            <w:r>
              <w:rPr>
                <w:rFonts w:ascii="Times New Roman" w:hAnsi="Times New Roman" w:eastAsia="Times New Roman" w:cs="Times New Roman"/>
                <w:position w:val="1"/>
                <w:sz w:val="18"/>
                <w:szCs w:val="18"/>
              </w:rPr>
              <w:t>/里程</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核算周期</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核算边界</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产品总产量</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3014" w:type="pct"/>
            <w:gridSpan w:val="5"/>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rPr>
                <w:lang w:eastAsia="zh-CN"/>
              </w:rPr>
            </w:pPr>
            <w:r>
              <w:rPr>
                <w:rFonts w:hint="eastAsia"/>
                <w:spacing w:val="-2"/>
                <w:lang w:eastAsia="zh-CN"/>
              </w:rPr>
              <w:t>材料生产阶段-原材料消耗</w:t>
            </w:r>
          </w:p>
        </w:tc>
        <w:tc>
          <w:tcPr>
            <w:tcW w:w="1028" w:type="pct"/>
            <w:shd w:val="clear" w:color="auto" w:fill="E7E6E6"/>
            <w:vAlign w:val="center"/>
          </w:tcPr>
          <w:p>
            <w:pPr>
              <w:pStyle w:val="28"/>
              <w:jc w:val="center"/>
            </w:pPr>
            <w:r>
              <w:rPr>
                <w:spacing w:val="-4"/>
              </w:rPr>
              <w:t>种类</w:t>
            </w:r>
          </w:p>
        </w:tc>
        <w:tc>
          <w:tcPr>
            <w:tcW w:w="580" w:type="pct"/>
            <w:shd w:val="clear" w:color="auto" w:fill="E7E6E6"/>
            <w:vAlign w:val="center"/>
          </w:tcPr>
          <w:p>
            <w:pPr>
              <w:pStyle w:val="28"/>
              <w:jc w:val="center"/>
            </w:pPr>
            <w:r>
              <w:rPr>
                <w:spacing w:val="-4"/>
              </w:rPr>
              <w:t>消耗量</w:t>
            </w:r>
          </w:p>
        </w:tc>
        <w:tc>
          <w:tcPr>
            <w:tcW w:w="570" w:type="pct"/>
            <w:shd w:val="clear" w:color="auto" w:fill="E7E6E6"/>
            <w:vAlign w:val="center"/>
          </w:tcPr>
          <w:p>
            <w:pPr>
              <w:pStyle w:val="28"/>
              <w:jc w:val="center"/>
            </w:pPr>
            <w:r>
              <w:rPr>
                <w:spacing w:val="-5"/>
              </w:rPr>
              <w:t>单位</w:t>
            </w:r>
          </w:p>
        </w:tc>
        <w:tc>
          <w:tcPr>
            <w:tcW w:w="746" w:type="pct"/>
            <w:shd w:val="clear" w:color="auto" w:fill="E7E6E6"/>
            <w:vAlign w:val="center"/>
          </w:tcPr>
          <w:p>
            <w:pPr>
              <w:pStyle w:val="28"/>
              <w:jc w:val="center"/>
            </w:pPr>
            <w:r>
              <w:rPr>
                <w:spacing w:val="-3"/>
              </w:rPr>
              <w:t>取得方式</w:t>
            </w:r>
          </w:p>
        </w:tc>
        <w:tc>
          <w:tcPr>
            <w:tcW w:w="556" w:type="pct"/>
            <w:shd w:val="clear" w:color="auto" w:fill="E7E6E6"/>
            <w:vAlign w:val="center"/>
          </w:tcPr>
          <w:p>
            <w:pPr>
              <w:pStyle w:val="28"/>
              <w:jc w:val="center"/>
            </w:pPr>
            <w:r>
              <w:rPr>
                <w:spacing w:val="-1"/>
              </w:rPr>
              <w:t>平均运输距离</w:t>
            </w:r>
            <w:r>
              <w:rPr>
                <w:rFonts w:ascii="Times New Roman" w:hAnsi="Times New Roman" w:eastAsia="Times New Roman" w:cs="Times New Roman"/>
                <w:spacing w:val="-1"/>
              </w:rPr>
              <w:t>/</w:t>
            </w:r>
            <w:r>
              <w:rPr>
                <w:spacing w:val="-1"/>
              </w:rPr>
              <w:t>方式</w:t>
            </w:r>
          </w:p>
        </w:tc>
        <w:tc>
          <w:tcPr>
            <w:tcW w:w="560" w:type="pct"/>
            <w:shd w:val="clear" w:color="auto" w:fill="E7E6E6"/>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橡胶-天然橡胶</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橡胶-合成橡胶</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补强材料-二氧化硅</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补强材料-炭黑</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助剂-钴盐</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助剂-增塑剂</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助剂-脱模剂</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骨架材料-钢丝</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骨架材料-尼龙</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骨架材料-聚酯纤维</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工业用水</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干冰</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kg</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 自产□外购</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rPr>
                <w:lang w:eastAsia="zh-CN"/>
              </w:rPr>
            </w:pPr>
            <w:r>
              <w:rPr>
                <w:spacing w:val="-2"/>
                <w:lang w:eastAsia="zh-CN"/>
              </w:rPr>
              <w:t>雪地轮胎产品</w:t>
            </w:r>
            <w:r>
              <w:rPr>
                <w:rFonts w:hint="eastAsia"/>
                <w:spacing w:val="-2"/>
                <w:lang w:eastAsia="zh-CN"/>
              </w:rPr>
              <w:t>生产阶段-能源消耗</w:t>
            </w:r>
          </w:p>
        </w:tc>
        <w:tc>
          <w:tcPr>
            <w:tcW w:w="1028" w:type="pct"/>
            <w:shd w:val="clear" w:color="auto" w:fill="D9D9D9"/>
            <w:vAlign w:val="center"/>
          </w:tcPr>
          <w:p>
            <w:pPr>
              <w:pStyle w:val="28"/>
              <w:jc w:val="center"/>
            </w:pPr>
            <w:r>
              <w:rPr>
                <w:spacing w:val="-4"/>
              </w:rPr>
              <w:t>种类</w:t>
            </w:r>
          </w:p>
        </w:tc>
        <w:tc>
          <w:tcPr>
            <w:tcW w:w="580" w:type="pct"/>
            <w:shd w:val="clear" w:color="auto" w:fill="D9D9D9"/>
            <w:vAlign w:val="center"/>
          </w:tcPr>
          <w:p>
            <w:pPr>
              <w:pStyle w:val="28"/>
              <w:jc w:val="center"/>
            </w:pPr>
            <w:r>
              <w:rPr>
                <w:spacing w:val="-4"/>
              </w:rPr>
              <w:t>消耗量</w:t>
            </w:r>
          </w:p>
        </w:tc>
        <w:tc>
          <w:tcPr>
            <w:tcW w:w="570" w:type="pct"/>
            <w:shd w:val="clear" w:color="auto" w:fill="D9D9D9"/>
            <w:vAlign w:val="center"/>
          </w:tcPr>
          <w:p>
            <w:pPr>
              <w:pStyle w:val="28"/>
              <w:jc w:val="center"/>
            </w:pPr>
            <w:r>
              <w:rPr>
                <w:spacing w:val="-5"/>
              </w:rPr>
              <w:t>单位</w:t>
            </w:r>
          </w:p>
        </w:tc>
        <w:tc>
          <w:tcPr>
            <w:tcW w:w="746" w:type="pct"/>
            <w:shd w:val="clear" w:color="auto" w:fill="D9D9D9"/>
            <w:vAlign w:val="center"/>
          </w:tcPr>
          <w:p>
            <w:pPr>
              <w:pStyle w:val="28"/>
              <w:jc w:val="center"/>
            </w:pPr>
            <w:r>
              <w:rPr>
                <w:spacing w:val="-2"/>
              </w:rPr>
              <w:t>低位发热量</w:t>
            </w:r>
          </w:p>
        </w:tc>
        <w:tc>
          <w:tcPr>
            <w:tcW w:w="556" w:type="pct"/>
            <w:shd w:val="clear" w:color="auto" w:fill="D9D9D9"/>
            <w:vAlign w:val="center"/>
          </w:tcPr>
          <w:p>
            <w:pPr>
              <w:pStyle w:val="28"/>
              <w:jc w:val="center"/>
            </w:pPr>
            <w:r>
              <w:rPr>
                <w:spacing w:val="-1"/>
              </w:rPr>
              <w:t>平均运输距离</w:t>
            </w:r>
            <w:r>
              <w:rPr>
                <w:rFonts w:ascii="Times New Roman" w:hAnsi="Times New Roman" w:eastAsia="Times New Roman" w:cs="Times New Roman"/>
                <w:spacing w:val="-1"/>
              </w:rPr>
              <w:t>/</w:t>
            </w:r>
            <w:r>
              <w:rPr>
                <w:spacing w:val="-1"/>
              </w:rPr>
              <w:t>方式</w:t>
            </w:r>
          </w:p>
        </w:tc>
        <w:tc>
          <w:tcPr>
            <w:tcW w:w="560" w:type="pct"/>
            <w:shd w:val="clear" w:color="auto" w:fill="D9D9D9"/>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电力</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kWh</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电力-光伏</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kWh</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热力</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GJ</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蒸汽</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GJ</w:t>
            </w:r>
          </w:p>
        </w:tc>
        <w:tc>
          <w:tcPr>
            <w:tcW w:w="746"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（需备注压强</w:t>
            </w:r>
            <w:r>
              <w:rPr>
                <w:rFonts w:ascii="Times New Roman" w:hAnsi="Times New Roman" w:cs="Times New Roman"/>
                <w:spacing w:val="-2"/>
              </w:rPr>
              <w:t>）</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天然气</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m</w:t>
            </w:r>
            <w:r>
              <w:rPr>
                <w:rFonts w:ascii="Times New Roman" w:hAnsi="Times New Roman" w:eastAsia="Times New Roman" w:cs="Times New Roman"/>
                <w:position w:val="1"/>
                <w:sz w:val="18"/>
                <w:szCs w:val="18"/>
                <w:vertAlign w:val="superscript"/>
              </w:rPr>
              <w:t>3</w:t>
            </w:r>
          </w:p>
        </w:tc>
        <w:tc>
          <w:tcPr>
            <w:tcW w:w="746" w:type="pct"/>
            <w:vAlign w:val="center"/>
          </w:tcPr>
          <w:p>
            <w:pPr>
              <w:jc w:val="center"/>
              <w:rPr>
                <w:rFonts w:ascii="Times New Roman" w:hAnsi="Times New Roman" w:eastAsia="Times New Roman" w:cs="Times New Roman"/>
                <w:position w:val="1"/>
                <w:sz w:val="18"/>
                <w:szCs w:val="18"/>
              </w:rPr>
            </w:pP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汽油</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746" w:type="pct"/>
            <w:vAlign w:val="center"/>
          </w:tcPr>
          <w:p>
            <w:pPr>
              <w:jc w:val="center"/>
              <w:rPr>
                <w:rFonts w:ascii="Times New Roman" w:hAnsi="Times New Roman" w:eastAsia="Times New Roman" w:cs="Times New Roman"/>
                <w:position w:val="1"/>
                <w:sz w:val="18"/>
                <w:szCs w:val="18"/>
              </w:rPr>
            </w:pPr>
          </w:p>
        </w:tc>
        <w:tc>
          <w:tcPr>
            <w:tcW w:w="556" w:type="pct"/>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柴油</w:t>
            </w:r>
          </w:p>
        </w:tc>
        <w:tc>
          <w:tcPr>
            <w:tcW w:w="580" w:type="pct"/>
            <w:vAlign w:val="center"/>
          </w:tcPr>
          <w:p>
            <w:pPr>
              <w:jc w:val="center"/>
              <w:rPr>
                <w:rFonts w:ascii="Arial"/>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746" w:type="pct"/>
            <w:vAlign w:val="center"/>
          </w:tcPr>
          <w:p>
            <w:pPr>
              <w:jc w:val="center"/>
              <w:rPr>
                <w:rFonts w:ascii="Arial"/>
              </w:rPr>
            </w:pPr>
          </w:p>
        </w:tc>
        <w:tc>
          <w:tcPr>
            <w:tcW w:w="556" w:type="pct"/>
            <w:vAlign w:val="center"/>
          </w:tcPr>
          <w:p>
            <w:pPr>
              <w:jc w:val="center"/>
              <w:rPr>
                <w:rFonts w:ascii="Arial"/>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w:t>
            </w:r>
          </w:p>
        </w:tc>
        <w:tc>
          <w:tcPr>
            <w:tcW w:w="580" w:type="pct"/>
            <w:vAlign w:val="center"/>
          </w:tcPr>
          <w:p>
            <w:pPr>
              <w:jc w:val="center"/>
              <w:rPr>
                <w:rFonts w:ascii="Arial"/>
              </w:rPr>
            </w:pPr>
          </w:p>
        </w:tc>
        <w:tc>
          <w:tcPr>
            <w:tcW w:w="570" w:type="pct"/>
            <w:vAlign w:val="center"/>
          </w:tcPr>
          <w:p>
            <w:pPr>
              <w:jc w:val="center"/>
              <w:rPr>
                <w:rFonts w:ascii="Times New Roman" w:hAnsi="Times New Roman" w:eastAsia="Times New Roman" w:cs="Times New Roman"/>
                <w:position w:val="1"/>
                <w:sz w:val="18"/>
                <w:szCs w:val="18"/>
              </w:rPr>
            </w:pPr>
          </w:p>
        </w:tc>
        <w:tc>
          <w:tcPr>
            <w:tcW w:w="746" w:type="pct"/>
            <w:vAlign w:val="center"/>
          </w:tcPr>
          <w:p>
            <w:pPr>
              <w:jc w:val="center"/>
              <w:rPr>
                <w:rFonts w:ascii="Arial"/>
              </w:rPr>
            </w:pPr>
          </w:p>
        </w:tc>
        <w:tc>
          <w:tcPr>
            <w:tcW w:w="556" w:type="pct"/>
            <w:vAlign w:val="center"/>
          </w:tcPr>
          <w:p>
            <w:pPr>
              <w:jc w:val="center"/>
              <w:rPr>
                <w:rFonts w:ascii="Arial"/>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rPr>
                <w:spacing w:val="-2"/>
                <w:lang w:eastAsia="zh-CN"/>
              </w:rPr>
            </w:pPr>
            <w:r>
              <w:rPr>
                <w:spacing w:val="-2"/>
                <w:lang w:eastAsia="zh-CN"/>
              </w:rPr>
              <w:t>雪地轮胎产品</w:t>
            </w:r>
            <w:r>
              <w:rPr>
                <w:rFonts w:hint="eastAsia"/>
                <w:spacing w:val="-2"/>
                <w:lang w:eastAsia="zh-CN"/>
              </w:rPr>
              <w:t>生产阶段-温室气体排放</w:t>
            </w:r>
          </w:p>
        </w:tc>
        <w:tc>
          <w:tcPr>
            <w:tcW w:w="1028" w:type="pct"/>
            <w:shd w:val="clear" w:color="auto" w:fill="D9D9D9"/>
            <w:vAlign w:val="center"/>
          </w:tcPr>
          <w:p>
            <w:pPr>
              <w:pStyle w:val="28"/>
              <w:jc w:val="center"/>
            </w:pPr>
            <w:r>
              <w:rPr>
                <w:spacing w:val="-4"/>
              </w:rPr>
              <w:t>种类</w:t>
            </w:r>
          </w:p>
        </w:tc>
        <w:tc>
          <w:tcPr>
            <w:tcW w:w="580" w:type="pct"/>
            <w:shd w:val="clear" w:color="auto" w:fill="D9D9D9"/>
            <w:vAlign w:val="center"/>
          </w:tcPr>
          <w:p>
            <w:pPr>
              <w:pStyle w:val="28"/>
              <w:jc w:val="center"/>
            </w:pPr>
            <w:r>
              <w:rPr>
                <w:spacing w:val="-3"/>
              </w:rPr>
              <w:t>排放量</w:t>
            </w:r>
          </w:p>
        </w:tc>
        <w:tc>
          <w:tcPr>
            <w:tcW w:w="570" w:type="pct"/>
            <w:shd w:val="clear" w:color="auto" w:fill="D9D9D9"/>
            <w:vAlign w:val="center"/>
          </w:tcPr>
          <w:p>
            <w:pPr>
              <w:pStyle w:val="28"/>
              <w:jc w:val="center"/>
            </w:pPr>
            <w:r>
              <w:rPr>
                <w:spacing w:val="-5"/>
              </w:rPr>
              <w:t>单位</w:t>
            </w:r>
          </w:p>
        </w:tc>
        <w:tc>
          <w:tcPr>
            <w:tcW w:w="1302" w:type="pct"/>
            <w:gridSpan w:val="2"/>
            <w:shd w:val="clear" w:color="auto" w:fill="D9D9D9"/>
            <w:vAlign w:val="center"/>
          </w:tcPr>
          <w:p>
            <w:pPr>
              <w:pStyle w:val="28"/>
              <w:jc w:val="center"/>
            </w:pPr>
            <w:r>
              <w:rPr>
                <w:spacing w:val="-3"/>
              </w:rPr>
              <w:t>数据来源</w:t>
            </w:r>
          </w:p>
        </w:tc>
        <w:tc>
          <w:tcPr>
            <w:tcW w:w="560" w:type="pct"/>
            <w:shd w:val="clear" w:color="auto" w:fill="D9D9D9"/>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二氧化碳</w:t>
            </w:r>
          </w:p>
        </w:tc>
        <w:tc>
          <w:tcPr>
            <w:tcW w:w="580" w:type="pct"/>
            <w:shd w:val="clear" w:color="auto" w:fill="FFFFFF"/>
            <w:vAlign w:val="center"/>
          </w:tcPr>
          <w:p>
            <w:pPr>
              <w:jc w:val="center"/>
              <w:rPr>
                <w:rFonts w:ascii="Times New Roman" w:hAnsi="Times New Roman" w:eastAsia="Times New Roman" w:cs="Times New Roman"/>
                <w:position w:val="1"/>
                <w:sz w:val="18"/>
                <w:szCs w:val="18"/>
              </w:rPr>
            </w:pPr>
          </w:p>
        </w:tc>
        <w:tc>
          <w:tcPr>
            <w:tcW w:w="570"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shd w:val="clear" w:color="auto" w:fill="FFFFFF"/>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甲烷</w:t>
            </w:r>
          </w:p>
        </w:tc>
        <w:tc>
          <w:tcPr>
            <w:tcW w:w="580" w:type="pct"/>
            <w:shd w:val="clear" w:color="auto" w:fill="FFFFFF"/>
            <w:vAlign w:val="center"/>
          </w:tcPr>
          <w:p>
            <w:pPr>
              <w:jc w:val="center"/>
              <w:rPr>
                <w:rFonts w:ascii="Times New Roman" w:hAnsi="Times New Roman" w:eastAsia="Times New Roman" w:cs="Times New Roman"/>
                <w:position w:val="1"/>
                <w:sz w:val="18"/>
                <w:szCs w:val="18"/>
              </w:rPr>
            </w:pPr>
          </w:p>
        </w:tc>
        <w:tc>
          <w:tcPr>
            <w:tcW w:w="570"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shd w:val="clear" w:color="auto" w:fill="FFFFFF"/>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废水</w:t>
            </w:r>
          </w:p>
        </w:tc>
        <w:tc>
          <w:tcPr>
            <w:tcW w:w="580" w:type="pct"/>
            <w:shd w:val="clear" w:color="auto" w:fill="FFFFFF"/>
            <w:vAlign w:val="center"/>
          </w:tcPr>
          <w:p>
            <w:pPr>
              <w:jc w:val="center"/>
              <w:rPr>
                <w:rFonts w:ascii="Times New Roman" w:hAnsi="Times New Roman" w:eastAsia="Times New Roman" w:cs="Times New Roman"/>
                <w:position w:val="1"/>
                <w:sz w:val="18"/>
                <w:szCs w:val="18"/>
              </w:rPr>
            </w:pPr>
          </w:p>
        </w:tc>
        <w:tc>
          <w:tcPr>
            <w:tcW w:w="570"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shd w:val="clear" w:color="auto" w:fill="FFFFFF"/>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shd w:val="clear" w:color="auto" w:fill="FFFFFF"/>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80" w:type="pct"/>
            <w:shd w:val="clear" w:color="auto" w:fill="FFFFFF"/>
            <w:vAlign w:val="center"/>
          </w:tcPr>
          <w:p>
            <w:pPr>
              <w:jc w:val="center"/>
              <w:rPr>
                <w:rFonts w:ascii="Times New Roman" w:hAnsi="Times New Roman" w:eastAsia="Times New Roman" w:cs="Times New Roman"/>
                <w:position w:val="1"/>
                <w:sz w:val="18"/>
                <w:szCs w:val="18"/>
              </w:rPr>
            </w:pPr>
          </w:p>
        </w:tc>
        <w:tc>
          <w:tcPr>
            <w:tcW w:w="570" w:type="pct"/>
            <w:shd w:val="clear" w:color="auto" w:fill="FFFFFF"/>
            <w:vAlign w:val="center"/>
          </w:tcPr>
          <w:p>
            <w:pPr>
              <w:jc w:val="center"/>
              <w:rPr>
                <w:rFonts w:ascii="Times New Roman" w:hAnsi="Times New Roman" w:eastAsia="Times New Roman" w:cs="Times New Roman"/>
                <w:position w:val="1"/>
                <w:sz w:val="18"/>
                <w:szCs w:val="18"/>
              </w:rPr>
            </w:pPr>
          </w:p>
        </w:tc>
        <w:tc>
          <w:tcPr>
            <w:tcW w:w="1302" w:type="pct"/>
            <w:gridSpan w:val="2"/>
            <w:shd w:val="clear" w:color="auto" w:fill="FFFFFF"/>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pPr>
            <w:r>
              <w:rPr>
                <w:spacing w:val="-2"/>
              </w:rPr>
              <w:t>产品运输</w:t>
            </w:r>
          </w:p>
        </w:tc>
        <w:tc>
          <w:tcPr>
            <w:tcW w:w="1028" w:type="pct"/>
            <w:shd w:val="clear" w:color="auto" w:fill="E7E6E6"/>
            <w:vAlign w:val="center"/>
          </w:tcPr>
          <w:p>
            <w:pPr>
              <w:pStyle w:val="28"/>
              <w:jc w:val="center"/>
            </w:pPr>
            <w:r>
              <w:rPr>
                <w:spacing w:val="-4"/>
              </w:rPr>
              <w:t>种类</w:t>
            </w:r>
          </w:p>
        </w:tc>
        <w:tc>
          <w:tcPr>
            <w:tcW w:w="580" w:type="pct"/>
            <w:shd w:val="clear" w:color="auto" w:fill="E7E6E6"/>
            <w:vAlign w:val="center"/>
          </w:tcPr>
          <w:p>
            <w:pPr>
              <w:pStyle w:val="28"/>
              <w:jc w:val="center"/>
            </w:pPr>
            <w:r>
              <w:rPr>
                <w:spacing w:val="-3"/>
              </w:rPr>
              <w:t>运输量</w:t>
            </w:r>
          </w:p>
        </w:tc>
        <w:tc>
          <w:tcPr>
            <w:tcW w:w="570" w:type="pct"/>
            <w:shd w:val="clear" w:color="auto" w:fill="E7E6E6"/>
            <w:vAlign w:val="center"/>
          </w:tcPr>
          <w:p>
            <w:pPr>
              <w:pStyle w:val="28"/>
              <w:jc w:val="center"/>
            </w:pPr>
            <w:r>
              <w:rPr>
                <w:spacing w:val="-5"/>
              </w:rPr>
              <w:t>单位</w:t>
            </w:r>
          </w:p>
        </w:tc>
        <w:tc>
          <w:tcPr>
            <w:tcW w:w="1302" w:type="pct"/>
            <w:gridSpan w:val="2"/>
            <w:shd w:val="clear" w:color="auto" w:fill="E7E6E6"/>
            <w:vAlign w:val="center"/>
          </w:tcPr>
          <w:p>
            <w:pPr>
              <w:pStyle w:val="28"/>
              <w:jc w:val="center"/>
            </w:pPr>
            <w:r>
              <w:rPr>
                <w:spacing w:val="-1"/>
              </w:rPr>
              <w:t>平均运输距离</w:t>
            </w:r>
            <w:r>
              <w:rPr>
                <w:rFonts w:ascii="Times New Roman" w:hAnsi="Times New Roman" w:eastAsia="Times New Roman" w:cs="Times New Roman"/>
                <w:spacing w:val="-1"/>
              </w:rPr>
              <w:t>/</w:t>
            </w:r>
            <w:r>
              <w:rPr>
                <w:spacing w:val="-1"/>
              </w:rPr>
              <w:t>方式</w:t>
            </w:r>
          </w:p>
        </w:tc>
        <w:tc>
          <w:tcPr>
            <w:tcW w:w="560" w:type="pct"/>
            <w:shd w:val="clear" w:color="auto" w:fill="E7E6E6"/>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产品1</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距离/公路</w:t>
            </w: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产品1</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距离/铁路</w:t>
            </w: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产品1</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距离/海运</w:t>
            </w: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w:t>
            </w:r>
          </w:p>
        </w:tc>
        <w:tc>
          <w:tcPr>
            <w:tcW w:w="580" w:type="pct"/>
            <w:vAlign w:val="center"/>
          </w:tcPr>
          <w:p>
            <w:pPr>
              <w:jc w:val="center"/>
              <w:rPr>
                <w:rFonts w:ascii="Arial"/>
              </w:rPr>
            </w:pPr>
          </w:p>
        </w:tc>
        <w:tc>
          <w:tcPr>
            <w:tcW w:w="570" w:type="pct"/>
            <w:vAlign w:val="center"/>
          </w:tcPr>
          <w:p>
            <w:pPr>
              <w:jc w:val="center"/>
              <w:rPr>
                <w:rFonts w:ascii="Arial"/>
              </w:rPr>
            </w:pPr>
          </w:p>
        </w:tc>
        <w:tc>
          <w:tcPr>
            <w:tcW w:w="1302" w:type="pct"/>
            <w:gridSpan w:val="2"/>
            <w:vAlign w:val="center"/>
          </w:tcPr>
          <w:p>
            <w:pPr>
              <w:jc w:val="center"/>
              <w:rPr>
                <w:rFonts w:ascii="Arial"/>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rPr>
                <w:lang w:eastAsia="zh-CN"/>
              </w:rPr>
            </w:pPr>
            <w:r>
              <w:rPr>
                <w:spacing w:val="-2"/>
                <w:lang w:eastAsia="zh-CN"/>
              </w:rPr>
              <w:t>雪地轮胎产品</w:t>
            </w:r>
            <w:r>
              <w:rPr>
                <w:rFonts w:hint="eastAsia"/>
                <w:spacing w:val="-2"/>
                <w:lang w:eastAsia="zh-CN"/>
              </w:rPr>
              <w:t>废</w:t>
            </w:r>
            <w:r>
              <w:rPr>
                <w:spacing w:val="-2"/>
                <w:lang w:eastAsia="zh-CN"/>
              </w:rPr>
              <w:t>弃</w:t>
            </w:r>
            <w:r>
              <w:rPr>
                <w:rFonts w:hint="eastAsia"/>
                <w:spacing w:val="-2"/>
                <w:lang w:eastAsia="zh-CN"/>
              </w:rPr>
              <w:t>处理阶段-</w:t>
            </w:r>
            <w:r>
              <w:rPr>
                <w:spacing w:val="-2"/>
                <w:lang w:eastAsia="zh-CN"/>
              </w:rPr>
              <w:t>运输过程</w:t>
            </w:r>
          </w:p>
        </w:tc>
        <w:tc>
          <w:tcPr>
            <w:tcW w:w="1028" w:type="pct"/>
            <w:shd w:val="clear" w:color="auto" w:fill="D7D7D7"/>
            <w:vAlign w:val="center"/>
          </w:tcPr>
          <w:p>
            <w:pPr>
              <w:pStyle w:val="28"/>
              <w:jc w:val="center"/>
            </w:pPr>
            <w:r>
              <w:rPr>
                <w:spacing w:val="-4"/>
              </w:rPr>
              <w:t>种类</w:t>
            </w:r>
          </w:p>
        </w:tc>
        <w:tc>
          <w:tcPr>
            <w:tcW w:w="580" w:type="pct"/>
            <w:shd w:val="clear" w:color="auto" w:fill="D7D7D7"/>
            <w:vAlign w:val="center"/>
          </w:tcPr>
          <w:p>
            <w:pPr>
              <w:pStyle w:val="28"/>
              <w:jc w:val="center"/>
            </w:pPr>
            <w:r>
              <w:rPr>
                <w:spacing w:val="-3"/>
              </w:rPr>
              <w:t>运输量</w:t>
            </w:r>
          </w:p>
        </w:tc>
        <w:tc>
          <w:tcPr>
            <w:tcW w:w="570" w:type="pct"/>
            <w:shd w:val="clear" w:color="auto" w:fill="D7D7D7"/>
            <w:vAlign w:val="center"/>
          </w:tcPr>
          <w:p>
            <w:pPr>
              <w:pStyle w:val="28"/>
              <w:jc w:val="center"/>
            </w:pPr>
            <w:r>
              <w:rPr>
                <w:spacing w:val="-5"/>
              </w:rPr>
              <w:t>单位</w:t>
            </w:r>
          </w:p>
        </w:tc>
        <w:tc>
          <w:tcPr>
            <w:tcW w:w="1302" w:type="pct"/>
            <w:gridSpan w:val="2"/>
            <w:shd w:val="clear" w:color="auto" w:fill="D7D7D7"/>
            <w:vAlign w:val="center"/>
          </w:tcPr>
          <w:p>
            <w:pPr>
              <w:pStyle w:val="28"/>
              <w:jc w:val="center"/>
            </w:pPr>
            <w:r>
              <w:rPr>
                <w:spacing w:val="-1"/>
              </w:rPr>
              <w:t>平均运输距离</w:t>
            </w:r>
            <w:r>
              <w:rPr>
                <w:rFonts w:ascii="Times New Roman" w:hAnsi="Times New Roman" w:eastAsia="Times New Roman" w:cs="Times New Roman"/>
                <w:spacing w:val="-1"/>
              </w:rPr>
              <w:t>/</w:t>
            </w:r>
            <w:r>
              <w:rPr>
                <w:spacing w:val="-1"/>
              </w:rPr>
              <w:t>方式</w:t>
            </w:r>
          </w:p>
        </w:tc>
        <w:tc>
          <w:tcPr>
            <w:tcW w:w="560" w:type="pct"/>
            <w:shd w:val="clear" w:color="auto" w:fill="D7D7D7"/>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产品1</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距离/公路</w:t>
            </w: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产品1</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距离/铁路</w:t>
            </w: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产品1</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距离/海运</w:t>
            </w: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w:t>
            </w:r>
          </w:p>
        </w:tc>
        <w:tc>
          <w:tcPr>
            <w:tcW w:w="580" w:type="pct"/>
            <w:vAlign w:val="center"/>
          </w:tcPr>
          <w:p>
            <w:pPr>
              <w:jc w:val="center"/>
              <w:rPr>
                <w:rFonts w:ascii="Times New Roman" w:hAnsi="Times New Roman" w:eastAsia="Times New Roman" w:cs="Times New Roman"/>
                <w:position w:val="1"/>
                <w:sz w:val="18"/>
                <w:szCs w:val="18"/>
              </w:rPr>
            </w:pPr>
          </w:p>
        </w:tc>
        <w:tc>
          <w:tcPr>
            <w:tcW w:w="570" w:type="pct"/>
            <w:vAlign w:val="center"/>
          </w:tcPr>
          <w:p>
            <w:pPr>
              <w:jc w:val="center"/>
              <w:rPr>
                <w:rFonts w:ascii="Times New Roman" w:hAnsi="Times New Roman" w:eastAsia="Times New Roman" w:cs="Times New Roman"/>
                <w:position w:val="1"/>
                <w:sz w:val="18"/>
                <w:szCs w:val="18"/>
              </w:rPr>
            </w:pPr>
          </w:p>
        </w:tc>
        <w:tc>
          <w:tcPr>
            <w:tcW w:w="1302" w:type="pct"/>
            <w:gridSpan w:val="2"/>
            <w:vAlign w:val="center"/>
          </w:tcPr>
          <w:p>
            <w:pPr>
              <w:jc w:val="center"/>
              <w:rPr>
                <w:rFonts w:ascii="Times New Roman" w:hAnsi="Times New Roman" w:eastAsia="Times New Roman" w:cs="Times New Roman"/>
                <w:position w:val="1"/>
                <w:sz w:val="18"/>
                <w:szCs w:val="18"/>
              </w:rPr>
            </w:pPr>
          </w:p>
        </w:tc>
        <w:tc>
          <w:tcPr>
            <w:tcW w:w="560" w:type="pct"/>
            <w:vAlign w:val="center"/>
          </w:tcPr>
          <w:p>
            <w:pPr>
              <w:jc w:val="center"/>
              <w:rPr>
                <w:rFonts w:ascii="Times New Roman" w:hAnsi="Times New Roman" w:eastAsia="Times New Roman" w:cs="Times New Roman"/>
                <w:position w:val="1"/>
                <w:sz w:val="18"/>
                <w:szCs w:val="18"/>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rPr>
                <w:lang w:eastAsia="zh-CN"/>
              </w:rPr>
            </w:pPr>
            <w:r>
              <w:rPr>
                <w:spacing w:val="-2"/>
                <w:lang w:eastAsia="zh-CN"/>
              </w:rPr>
              <w:t>雪地轮胎产品</w:t>
            </w:r>
            <w:r>
              <w:rPr>
                <w:rFonts w:hint="eastAsia"/>
                <w:spacing w:val="-2"/>
                <w:lang w:eastAsia="zh-CN"/>
              </w:rPr>
              <w:t>废</w:t>
            </w:r>
            <w:r>
              <w:rPr>
                <w:spacing w:val="-2"/>
                <w:lang w:eastAsia="zh-CN"/>
              </w:rPr>
              <w:t>弃</w:t>
            </w:r>
            <w:r>
              <w:rPr>
                <w:rFonts w:hint="eastAsia"/>
                <w:spacing w:val="-2"/>
                <w:lang w:eastAsia="zh-CN"/>
              </w:rPr>
              <w:t>处理阶段-废弃处理能源消</w:t>
            </w:r>
            <w:r>
              <w:rPr>
                <w:spacing w:val="-3"/>
                <w:lang w:eastAsia="zh-CN"/>
              </w:rPr>
              <w:t>耗</w:t>
            </w:r>
          </w:p>
        </w:tc>
        <w:tc>
          <w:tcPr>
            <w:tcW w:w="1028" w:type="pct"/>
            <w:shd w:val="clear" w:color="auto" w:fill="D7D7D7"/>
            <w:vAlign w:val="center"/>
          </w:tcPr>
          <w:p>
            <w:pPr>
              <w:pStyle w:val="28"/>
              <w:jc w:val="center"/>
            </w:pPr>
            <w:r>
              <w:rPr>
                <w:spacing w:val="-4"/>
              </w:rPr>
              <w:t>种类</w:t>
            </w:r>
          </w:p>
        </w:tc>
        <w:tc>
          <w:tcPr>
            <w:tcW w:w="580" w:type="pct"/>
            <w:shd w:val="clear" w:color="auto" w:fill="D7D7D7"/>
            <w:vAlign w:val="center"/>
          </w:tcPr>
          <w:p>
            <w:pPr>
              <w:pStyle w:val="28"/>
              <w:jc w:val="center"/>
              <w:rPr>
                <w:spacing w:val="-4"/>
              </w:rPr>
            </w:pPr>
            <w:r>
              <w:rPr>
                <w:spacing w:val="-4"/>
              </w:rPr>
              <w:t>消耗量</w:t>
            </w:r>
          </w:p>
        </w:tc>
        <w:tc>
          <w:tcPr>
            <w:tcW w:w="570" w:type="pct"/>
            <w:shd w:val="clear" w:color="auto" w:fill="D7D7D7"/>
            <w:vAlign w:val="center"/>
          </w:tcPr>
          <w:p>
            <w:pPr>
              <w:pStyle w:val="28"/>
              <w:jc w:val="center"/>
              <w:rPr>
                <w:spacing w:val="-4"/>
              </w:rPr>
            </w:pPr>
            <w:r>
              <w:rPr>
                <w:spacing w:val="-4"/>
              </w:rPr>
              <w:t>单位</w:t>
            </w:r>
          </w:p>
        </w:tc>
        <w:tc>
          <w:tcPr>
            <w:tcW w:w="746" w:type="pct"/>
            <w:shd w:val="clear" w:color="auto" w:fill="D7D7D7"/>
            <w:vAlign w:val="center"/>
          </w:tcPr>
          <w:p>
            <w:pPr>
              <w:pStyle w:val="28"/>
              <w:jc w:val="center"/>
              <w:rPr>
                <w:spacing w:val="-4"/>
              </w:rPr>
            </w:pPr>
            <w:r>
              <w:rPr>
                <w:spacing w:val="-4"/>
              </w:rPr>
              <w:t>低位发热量</w:t>
            </w:r>
          </w:p>
        </w:tc>
        <w:tc>
          <w:tcPr>
            <w:tcW w:w="556" w:type="pct"/>
            <w:shd w:val="clear" w:color="auto" w:fill="D7D7D7"/>
            <w:vAlign w:val="center"/>
          </w:tcPr>
          <w:p>
            <w:pPr>
              <w:pStyle w:val="28"/>
              <w:jc w:val="center"/>
              <w:rPr>
                <w:spacing w:val="-4"/>
              </w:rPr>
            </w:pPr>
            <w:r>
              <w:rPr>
                <w:spacing w:val="-4"/>
              </w:rPr>
              <w:t>平均运输距离/方式</w:t>
            </w:r>
          </w:p>
        </w:tc>
        <w:tc>
          <w:tcPr>
            <w:tcW w:w="560" w:type="pct"/>
            <w:shd w:val="clear" w:color="auto" w:fill="D7D7D7"/>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pPr>
            <w:r>
              <w:rPr>
                <w:rFonts w:ascii="Times New Roman" w:hAnsi="Times New Roman" w:eastAsia="Times New Roman" w:cs="Times New Roman"/>
                <w:position w:val="1"/>
                <w:sz w:val="18"/>
                <w:szCs w:val="18"/>
              </w:rPr>
              <w:t>电力</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kWh</w:t>
            </w:r>
          </w:p>
        </w:tc>
        <w:tc>
          <w:tcPr>
            <w:tcW w:w="746" w:type="pct"/>
            <w:vAlign w:val="center"/>
          </w:tcPr>
          <w:p>
            <w:pPr>
              <w:jc w:val="center"/>
              <w:rPr>
                <w:spacing w:val="-4"/>
              </w:rPr>
            </w:pPr>
            <w:r>
              <w:rPr>
                <w:rFonts w:ascii="Times New Roman" w:hAnsi="Times New Roman" w:eastAsia="Times New Roman" w:cs="Times New Roman"/>
                <w:position w:val="1"/>
                <w:sz w:val="18"/>
                <w:szCs w:val="18"/>
              </w:rPr>
              <w:t>——</w:t>
            </w: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电力-光伏</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kWh</w:t>
            </w:r>
          </w:p>
        </w:tc>
        <w:tc>
          <w:tcPr>
            <w:tcW w:w="746" w:type="pct"/>
            <w:vAlign w:val="center"/>
          </w:tcPr>
          <w:p>
            <w:pPr>
              <w:jc w:val="center"/>
              <w:rPr>
                <w:spacing w:val="-4"/>
              </w:rPr>
            </w:pPr>
            <w:r>
              <w:rPr>
                <w:rFonts w:ascii="Times New Roman" w:hAnsi="Times New Roman" w:eastAsia="Times New Roman" w:cs="Times New Roman"/>
                <w:position w:val="1"/>
                <w:sz w:val="18"/>
                <w:szCs w:val="18"/>
              </w:rPr>
              <w:t>——</w:t>
            </w: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热力</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GJ</w:t>
            </w:r>
          </w:p>
        </w:tc>
        <w:tc>
          <w:tcPr>
            <w:tcW w:w="746" w:type="pct"/>
            <w:vAlign w:val="center"/>
          </w:tcPr>
          <w:p>
            <w:pPr>
              <w:jc w:val="center"/>
              <w:rPr>
                <w:spacing w:val="-4"/>
              </w:rPr>
            </w:pPr>
            <w:r>
              <w:rPr>
                <w:rFonts w:ascii="Times New Roman" w:hAnsi="Times New Roman" w:eastAsia="Times New Roman" w:cs="Times New Roman"/>
                <w:position w:val="1"/>
                <w:sz w:val="18"/>
                <w:szCs w:val="18"/>
              </w:rPr>
              <w:t>——</w:t>
            </w: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蒸汽</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GJ</w:t>
            </w:r>
          </w:p>
        </w:tc>
        <w:tc>
          <w:tcPr>
            <w:tcW w:w="746" w:type="pct"/>
            <w:vAlign w:val="center"/>
          </w:tcPr>
          <w:p>
            <w:pPr>
              <w:jc w:val="center"/>
              <w:rPr>
                <w:spacing w:val="-4"/>
              </w:rPr>
            </w:pPr>
            <w:r>
              <w:rPr>
                <w:rFonts w:ascii="Times New Roman" w:hAnsi="Times New Roman" w:eastAsia="Times New Roman" w:cs="Times New Roman"/>
                <w:position w:val="1"/>
                <w:sz w:val="18"/>
                <w:szCs w:val="18"/>
              </w:rPr>
              <w:t>——</w:t>
            </w: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天然气</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m</w:t>
            </w:r>
            <w:r>
              <w:rPr>
                <w:rFonts w:ascii="Times New Roman" w:hAnsi="Times New Roman" w:eastAsia="Times New Roman" w:cs="Times New Roman"/>
                <w:position w:val="1"/>
                <w:sz w:val="18"/>
                <w:szCs w:val="18"/>
                <w:vertAlign w:val="superscript"/>
              </w:rPr>
              <w:t>3</w:t>
            </w:r>
          </w:p>
        </w:tc>
        <w:tc>
          <w:tcPr>
            <w:tcW w:w="746" w:type="pct"/>
            <w:vAlign w:val="center"/>
          </w:tcPr>
          <w:p>
            <w:pPr>
              <w:jc w:val="center"/>
              <w:rPr>
                <w:spacing w:val="-4"/>
              </w:rPr>
            </w:pP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汽油</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t</w:t>
            </w:r>
          </w:p>
        </w:tc>
        <w:tc>
          <w:tcPr>
            <w:tcW w:w="746" w:type="pct"/>
            <w:vAlign w:val="center"/>
          </w:tcPr>
          <w:p>
            <w:pPr>
              <w:jc w:val="center"/>
              <w:rPr>
                <w:spacing w:val="-4"/>
              </w:rPr>
            </w:pP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柴油</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t</w:t>
            </w:r>
          </w:p>
        </w:tc>
        <w:tc>
          <w:tcPr>
            <w:tcW w:w="746" w:type="pct"/>
            <w:vAlign w:val="center"/>
          </w:tcPr>
          <w:p>
            <w:pPr>
              <w:jc w:val="center"/>
              <w:rPr>
                <w:spacing w:val="-4"/>
              </w:rPr>
            </w:pP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煤</w:t>
            </w:r>
          </w:p>
        </w:tc>
        <w:tc>
          <w:tcPr>
            <w:tcW w:w="580" w:type="pct"/>
            <w:vAlign w:val="center"/>
          </w:tcPr>
          <w:p>
            <w:pPr>
              <w:jc w:val="center"/>
              <w:rPr>
                <w:spacing w:val="-4"/>
              </w:rPr>
            </w:pPr>
          </w:p>
        </w:tc>
        <w:tc>
          <w:tcPr>
            <w:tcW w:w="570" w:type="pct"/>
            <w:vAlign w:val="center"/>
          </w:tcPr>
          <w:p>
            <w:pPr>
              <w:jc w:val="center"/>
              <w:rPr>
                <w:spacing w:val="-4"/>
              </w:rPr>
            </w:pPr>
            <w:r>
              <w:rPr>
                <w:rFonts w:ascii="Times New Roman" w:hAnsi="Times New Roman" w:eastAsia="Times New Roman" w:cs="Times New Roman"/>
                <w:position w:val="1"/>
                <w:sz w:val="18"/>
                <w:szCs w:val="18"/>
              </w:rPr>
              <w:t>t</w:t>
            </w:r>
          </w:p>
        </w:tc>
        <w:tc>
          <w:tcPr>
            <w:tcW w:w="746" w:type="pct"/>
            <w:vAlign w:val="center"/>
          </w:tcPr>
          <w:p>
            <w:pPr>
              <w:jc w:val="center"/>
              <w:rPr>
                <w:spacing w:val="-4"/>
              </w:rPr>
            </w:pPr>
            <w:r>
              <w:rPr>
                <w:rFonts w:ascii="Times New Roman" w:hAnsi="Times New Roman" w:eastAsia="Times New Roman" w:cs="Times New Roman"/>
                <w:position w:val="1"/>
                <w:sz w:val="18"/>
                <w:szCs w:val="18"/>
              </w:rPr>
              <w:t>——</w:t>
            </w: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w:t>
            </w:r>
          </w:p>
        </w:tc>
        <w:tc>
          <w:tcPr>
            <w:tcW w:w="580" w:type="pct"/>
            <w:vAlign w:val="center"/>
          </w:tcPr>
          <w:p>
            <w:pPr>
              <w:pStyle w:val="28"/>
              <w:jc w:val="center"/>
              <w:rPr>
                <w:spacing w:val="-4"/>
              </w:rPr>
            </w:pPr>
          </w:p>
        </w:tc>
        <w:tc>
          <w:tcPr>
            <w:tcW w:w="570" w:type="pct"/>
            <w:vAlign w:val="center"/>
          </w:tcPr>
          <w:p>
            <w:pPr>
              <w:pStyle w:val="28"/>
              <w:jc w:val="center"/>
              <w:rPr>
                <w:spacing w:val="-4"/>
              </w:rPr>
            </w:pPr>
          </w:p>
        </w:tc>
        <w:tc>
          <w:tcPr>
            <w:tcW w:w="746" w:type="pct"/>
            <w:vAlign w:val="center"/>
          </w:tcPr>
          <w:p>
            <w:pPr>
              <w:pStyle w:val="28"/>
              <w:jc w:val="center"/>
              <w:rPr>
                <w:spacing w:val="-4"/>
              </w:rPr>
            </w:pPr>
          </w:p>
        </w:tc>
        <w:tc>
          <w:tcPr>
            <w:tcW w:w="556" w:type="pct"/>
            <w:vAlign w:val="center"/>
          </w:tcPr>
          <w:p>
            <w:pPr>
              <w:pStyle w:val="28"/>
              <w:jc w:val="center"/>
              <w:rPr>
                <w:spacing w:val="-4"/>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restart"/>
            <w:tcBorders>
              <w:bottom w:val="nil"/>
            </w:tcBorders>
            <w:vAlign w:val="center"/>
          </w:tcPr>
          <w:p>
            <w:pPr>
              <w:pStyle w:val="28"/>
              <w:jc w:val="center"/>
              <w:rPr>
                <w:lang w:eastAsia="zh-CN"/>
              </w:rPr>
            </w:pPr>
            <w:r>
              <w:rPr>
                <w:spacing w:val="-2"/>
                <w:lang w:eastAsia="zh-CN"/>
              </w:rPr>
              <w:t>雪地轮胎产品</w:t>
            </w:r>
            <w:r>
              <w:rPr>
                <w:rFonts w:hint="eastAsia"/>
                <w:spacing w:val="-2"/>
                <w:lang w:eastAsia="zh-CN"/>
              </w:rPr>
              <w:t>废</w:t>
            </w:r>
            <w:r>
              <w:rPr>
                <w:spacing w:val="-2"/>
                <w:lang w:eastAsia="zh-CN"/>
              </w:rPr>
              <w:t>弃</w:t>
            </w:r>
            <w:r>
              <w:rPr>
                <w:rFonts w:hint="eastAsia"/>
                <w:spacing w:val="-2"/>
                <w:lang w:eastAsia="zh-CN"/>
              </w:rPr>
              <w:t>处理阶段-废弃处理温室气体排放</w:t>
            </w:r>
          </w:p>
        </w:tc>
        <w:tc>
          <w:tcPr>
            <w:tcW w:w="1028" w:type="pct"/>
            <w:shd w:val="clear" w:color="auto" w:fill="E7E6E6"/>
            <w:vAlign w:val="center"/>
          </w:tcPr>
          <w:p>
            <w:pPr>
              <w:pStyle w:val="28"/>
              <w:jc w:val="center"/>
            </w:pPr>
            <w:r>
              <w:rPr>
                <w:spacing w:val="-4"/>
              </w:rPr>
              <w:t>种类</w:t>
            </w:r>
          </w:p>
        </w:tc>
        <w:tc>
          <w:tcPr>
            <w:tcW w:w="580" w:type="pct"/>
            <w:shd w:val="clear" w:color="auto" w:fill="E7E6E6"/>
            <w:vAlign w:val="center"/>
          </w:tcPr>
          <w:p>
            <w:pPr>
              <w:pStyle w:val="28"/>
              <w:jc w:val="center"/>
            </w:pPr>
            <w:r>
              <w:rPr>
                <w:spacing w:val="-3"/>
              </w:rPr>
              <w:t>排放量</w:t>
            </w:r>
          </w:p>
        </w:tc>
        <w:tc>
          <w:tcPr>
            <w:tcW w:w="570" w:type="pct"/>
            <w:shd w:val="clear" w:color="auto" w:fill="E7E6E6"/>
            <w:vAlign w:val="center"/>
          </w:tcPr>
          <w:p>
            <w:pPr>
              <w:pStyle w:val="28"/>
              <w:jc w:val="center"/>
            </w:pPr>
            <w:r>
              <w:rPr>
                <w:spacing w:val="-5"/>
              </w:rPr>
              <w:t>单位</w:t>
            </w:r>
          </w:p>
        </w:tc>
        <w:tc>
          <w:tcPr>
            <w:tcW w:w="1302" w:type="pct"/>
            <w:gridSpan w:val="2"/>
            <w:shd w:val="clear" w:color="auto" w:fill="E7E6E6"/>
            <w:vAlign w:val="center"/>
          </w:tcPr>
          <w:p>
            <w:pPr>
              <w:pStyle w:val="28"/>
              <w:jc w:val="center"/>
            </w:pPr>
            <w:r>
              <w:rPr>
                <w:spacing w:val="-3"/>
              </w:rPr>
              <w:t>数据来源</w:t>
            </w:r>
          </w:p>
        </w:tc>
        <w:tc>
          <w:tcPr>
            <w:tcW w:w="560" w:type="pct"/>
            <w:shd w:val="clear" w:color="auto" w:fill="E7E6E6"/>
            <w:vAlign w:val="center"/>
          </w:tcPr>
          <w:p>
            <w:pPr>
              <w:pStyle w:val="28"/>
              <w:jc w:val="center"/>
            </w:pPr>
            <w:r>
              <w:rPr>
                <w:spacing w:val="-5"/>
              </w:rPr>
              <w:t>备注</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bottom w:val="nil"/>
            </w:tcBorders>
            <w:vAlign w:val="center"/>
          </w:tcPr>
          <w:p>
            <w:pPr>
              <w:jc w:val="center"/>
              <w:rPr>
                <w:rFonts w:ascii="Arial"/>
              </w:rPr>
            </w:pPr>
          </w:p>
        </w:tc>
        <w:tc>
          <w:tcPr>
            <w:tcW w:w="1028" w:type="pct"/>
            <w:vAlign w:val="center"/>
          </w:tcPr>
          <w:p>
            <w:pPr>
              <w:jc w:val="center"/>
            </w:pPr>
            <w:r>
              <w:rPr>
                <w:rFonts w:ascii="Times New Roman" w:hAnsi="Times New Roman" w:eastAsia="Times New Roman" w:cs="Times New Roman"/>
                <w:position w:val="1"/>
                <w:sz w:val="18"/>
                <w:szCs w:val="18"/>
              </w:rPr>
              <w:t>二氧化碳</w:t>
            </w:r>
          </w:p>
        </w:tc>
        <w:tc>
          <w:tcPr>
            <w:tcW w:w="580" w:type="pct"/>
            <w:vAlign w:val="center"/>
          </w:tcPr>
          <w:p>
            <w:pPr>
              <w:jc w:val="center"/>
              <w:rPr>
                <w:rFonts w:ascii="Arial"/>
              </w:rPr>
            </w:pPr>
          </w:p>
        </w:tc>
        <w:tc>
          <w:tcPr>
            <w:tcW w:w="570" w:type="pct"/>
            <w:vAlign w:val="center"/>
          </w:tcPr>
          <w:p>
            <w:pPr>
              <w:jc w:val="center"/>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t</w:t>
            </w:r>
          </w:p>
        </w:tc>
        <w:tc>
          <w:tcPr>
            <w:tcW w:w="1302" w:type="pct"/>
            <w:gridSpan w:val="2"/>
            <w:vAlign w:val="center"/>
          </w:tcPr>
          <w:p>
            <w:pPr>
              <w:jc w:val="cente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甲烷</w:t>
            </w:r>
          </w:p>
        </w:tc>
        <w:tc>
          <w:tcPr>
            <w:tcW w:w="580" w:type="pct"/>
            <w:vAlign w:val="center"/>
          </w:tcPr>
          <w:p>
            <w:pPr>
              <w:jc w:val="center"/>
              <w:rPr>
                <w:rFonts w:ascii="Arial"/>
              </w:rPr>
            </w:pPr>
          </w:p>
        </w:tc>
        <w:tc>
          <w:tcPr>
            <w:tcW w:w="570" w:type="pct"/>
            <w:vAlign w:val="center"/>
          </w:tcPr>
          <w:p>
            <w:pPr>
              <w:jc w:val="center"/>
              <w:rPr>
                <w:rFonts w:ascii="Arial"/>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Arial"/>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废水</w:t>
            </w:r>
          </w:p>
        </w:tc>
        <w:tc>
          <w:tcPr>
            <w:tcW w:w="580" w:type="pct"/>
            <w:vAlign w:val="center"/>
          </w:tcPr>
          <w:p>
            <w:pPr>
              <w:jc w:val="center"/>
              <w:rPr>
                <w:rFonts w:ascii="Arial"/>
              </w:rPr>
            </w:pPr>
          </w:p>
        </w:tc>
        <w:tc>
          <w:tcPr>
            <w:tcW w:w="570" w:type="pct"/>
            <w:vAlign w:val="center"/>
          </w:tcPr>
          <w:p>
            <w:pPr>
              <w:jc w:val="center"/>
              <w:rPr>
                <w:rFonts w:ascii="Arial"/>
              </w:rPr>
            </w:pPr>
            <w:r>
              <w:rPr>
                <w:rFonts w:ascii="Times New Roman" w:hAnsi="Times New Roman" w:eastAsia="Times New Roman" w:cs="Times New Roman"/>
                <w:position w:val="1"/>
                <w:sz w:val="18"/>
                <w:szCs w:val="18"/>
              </w:rPr>
              <w:t>t</w:t>
            </w:r>
          </w:p>
        </w:tc>
        <w:tc>
          <w:tcPr>
            <w:tcW w:w="1302" w:type="pct"/>
            <w:gridSpan w:val="2"/>
            <w:vAlign w:val="center"/>
          </w:tcPr>
          <w:p>
            <w:pPr>
              <w:jc w:val="center"/>
              <w:rPr>
                <w:rFonts w:ascii="Arial"/>
              </w:rPr>
            </w:pPr>
          </w:p>
        </w:tc>
        <w:tc>
          <w:tcPr>
            <w:tcW w:w="560" w:type="pct"/>
            <w:vAlign w:val="center"/>
          </w:tcPr>
          <w:p>
            <w:pPr>
              <w:jc w:val="center"/>
              <w:rPr>
                <w:rFonts w:ascii="Arial"/>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56" w:type="pct"/>
            <w:vMerge w:val="continue"/>
            <w:tcBorders>
              <w:top w:val="nil"/>
            </w:tcBorders>
            <w:vAlign w:val="center"/>
          </w:tcPr>
          <w:p>
            <w:pPr>
              <w:jc w:val="center"/>
              <w:rPr>
                <w:rFonts w:ascii="Arial"/>
              </w:rPr>
            </w:pPr>
          </w:p>
        </w:tc>
        <w:tc>
          <w:tcPr>
            <w:tcW w:w="1028" w:type="pct"/>
            <w:vAlign w:val="center"/>
          </w:tcPr>
          <w:p>
            <w:pPr>
              <w:jc w:val="center"/>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w:t>
            </w:r>
          </w:p>
        </w:tc>
        <w:tc>
          <w:tcPr>
            <w:tcW w:w="580" w:type="pct"/>
            <w:vAlign w:val="center"/>
          </w:tcPr>
          <w:p>
            <w:pPr>
              <w:jc w:val="center"/>
              <w:rPr>
                <w:rFonts w:ascii="Arial"/>
              </w:rPr>
            </w:pPr>
          </w:p>
        </w:tc>
        <w:tc>
          <w:tcPr>
            <w:tcW w:w="570" w:type="pct"/>
            <w:vAlign w:val="center"/>
          </w:tcPr>
          <w:p>
            <w:pPr>
              <w:jc w:val="center"/>
              <w:rPr>
                <w:rFonts w:ascii="Arial"/>
              </w:rPr>
            </w:pPr>
          </w:p>
        </w:tc>
        <w:tc>
          <w:tcPr>
            <w:tcW w:w="1302" w:type="pct"/>
            <w:gridSpan w:val="2"/>
            <w:vAlign w:val="center"/>
          </w:tcPr>
          <w:p>
            <w:pPr>
              <w:jc w:val="center"/>
              <w:rPr>
                <w:rFonts w:ascii="Arial"/>
              </w:rPr>
            </w:pPr>
          </w:p>
        </w:tc>
        <w:tc>
          <w:tcPr>
            <w:tcW w:w="560" w:type="pct"/>
            <w:vAlign w:val="center"/>
          </w:tcPr>
          <w:p>
            <w:pPr>
              <w:jc w:val="center"/>
              <w:rPr>
                <w:rFonts w:ascii="Arial"/>
              </w:rPr>
            </w:pPr>
          </w:p>
        </w:tc>
      </w:tr>
    </w:tbl>
    <w:p>
      <w:pPr>
        <w:rPr>
          <w:rFonts w:cs="Times New Roman"/>
          <w:sz w:val="28"/>
          <w:szCs w:val="28"/>
        </w:rPr>
      </w:pPr>
    </w:p>
    <w:p>
      <w:pPr>
        <w:spacing w:before="303" w:line="227" w:lineRule="auto"/>
        <w:rPr>
          <w:rFonts w:ascii="宋体" w:hAnsi="宋体" w:eastAsia="宋体" w:cs="宋体"/>
          <w:spacing w:val="6"/>
          <w:sz w:val="24"/>
          <w:szCs w:val="24"/>
        </w:rPr>
      </w:pPr>
      <w:r>
        <w:rPr>
          <w:rFonts w:ascii="宋体" w:hAnsi="宋体" w:eastAsia="宋体" w:cs="宋体"/>
          <w:spacing w:val="6"/>
          <w:sz w:val="24"/>
          <w:szCs w:val="24"/>
        </w:rPr>
        <w:t>次级数据采集表见表</w:t>
      </w:r>
      <w:r>
        <w:rPr>
          <w:rFonts w:ascii="Times New Roman" w:hAnsi="Times New Roman" w:eastAsia="宋体" w:cs="Times New Roman"/>
          <w:spacing w:val="6"/>
          <w:sz w:val="24"/>
          <w:szCs w:val="24"/>
        </w:rPr>
        <w:t>A.2</w:t>
      </w:r>
      <w:r>
        <w:rPr>
          <w:rFonts w:ascii="宋体" w:hAnsi="宋体" w:eastAsia="宋体" w:cs="宋体"/>
          <w:spacing w:val="6"/>
          <w:sz w:val="24"/>
          <w:szCs w:val="24"/>
        </w:rPr>
        <w:t>。</w:t>
      </w:r>
    </w:p>
    <w:p>
      <w:pPr>
        <w:spacing w:before="303" w:line="227" w:lineRule="auto"/>
        <w:rPr>
          <w:rFonts w:ascii="宋体" w:hAnsi="宋体" w:eastAsia="宋体" w:cs="宋体"/>
          <w:spacing w:val="6"/>
          <w:sz w:val="22"/>
        </w:rPr>
      </w:pPr>
    </w:p>
    <w:p>
      <w:pPr>
        <w:pStyle w:val="27"/>
        <w:numPr>
          <w:ilvl w:val="0"/>
          <w:numId w:val="0"/>
        </w:numPr>
        <w:ind w:firstLine="480"/>
        <w:jc w:val="center"/>
        <w:outlineLvl w:val="0"/>
        <w:rPr>
          <w:rFonts w:hAnsi="Times New Roman" w:cs="宋体"/>
          <w:b w:val="0"/>
          <w:color w:val="auto"/>
          <w:sz w:val="21"/>
          <w:szCs w:val="21"/>
          <w:lang w:val="zh-CN"/>
        </w:rPr>
      </w:pPr>
      <w:bookmarkStart w:id="29" w:name="_Toc6019"/>
      <w:r>
        <w:rPr>
          <w:rFonts w:hint="eastAsia" w:hAnsi="Times New Roman" w:cs="宋体"/>
          <w:b w:val="0"/>
          <w:color w:val="auto"/>
          <w:sz w:val="21"/>
          <w:szCs w:val="21"/>
          <w:lang w:val="zh-CN"/>
        </w:rPr>
        <w:t>表A.2  次级数据采集表</w:t>
      </w:r>
      <w:bookmarkEnd w:id="29"/>
    </w:p>
    <w:tbl>
      <w:tblPr>
        <w:tblStyle w:val="29"/>
        <w:tblpPr w:leftFromText="180" w:rightFromText="180" w:vertAnchor="text" w:horzAnchor="page" w:tblpX="1559" w:tblpY="229"/>
        <w:tblOverlap w:val="never"/>
        <w:tblW w:w="4831" w:type="pct"/>
        <w:tblInd w:w="0"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522"/>
        <w:gridCol w:w="1750"/>
        <w:gridCol w:w="1166"/>
        <w:gridCol w:w="1166"/>
        <w:gridCol w:w="1167"/>
        <w:gridCol w:w="1167"/>
        <w:gridCol w:w="1167"/>
        <w:gridCol w:w="1168"/>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1225" w:type="pct"/>
            <w:gridSpan w:val="2"/>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rPr>
            </w:pPr>
            <w:r>
              <w:rPr>
                <w:rFonts w:hint="eastAsia" w:asciiTheme="minorEastAsia" w:hAnsiTheme="minorEastAsia" w:eastAsiaTheme="minorEastAsia" w:cstheme="minorEastAsia"/>
                <w:b/>
                <w:spacing w:val="-2"/>
              </w:rPr>
              <w:t>背景数据</w:t>
            </w:r>
          </w:p>
        </w:tc>
        <w:tc>
          <w:tcPr>
            <w:tcW w:w="628" w:type="pct"/>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spacing w:val="-2"/>
              </w:rPr>
            </w:pPr>
            <w:r>
              <w:rPr>
                <w:rFonts w:hint="eastAsia" w:asciiTheme="minorEastAsia" w:hAnsiTheme="minorEastAsia" w:eastAsiaTheme="minorEastAsia" w:cstheme="minorEastAsia"/>
                <w:b/>
                <w:spacing w:val="-2"/>
              </w:rPr>
              <w:t>数值</w:t>
            </w:r>
            <w:r>
              <w:rPr>
                <w:rFonts w:asciiTheme="minorEastAsia" w:hAnsiTheme="minorEastAsia" w:eastAsiaTheme="minorEastAsia" w:cstheme="minorEastAsia"/>
                <w:b/>
                <w:spacing w:val="-2"/>
              </w:rPr>
              <w:t>/单位</w:t>
            </w:r>
          </w:p>
        </w:tc>
        <w:tc>
          <w:tcPr>
            <w:tcW w:w="628" w:type="pct"/>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spacing w:val="-2"/>
              </w:rPr>
            </w:pPr>
            <w:r>
              <w:rPr>
                <w:rFonts w:hint="eastAsia" w:asciiTheme="minorEastAsia" w:hAnsiTheme="minorEastAsia" w:eastAsiaTheme="minorEastAsia" w:cstheme="minorEastAsia"/>
                <w:b/>
                <w:spacing w:val="-2"/>
              </w:rPr>
              <w:t>数据来源</w:t>
            </w:r>
          </w:p>
        </w:tc>
        <w:tc>
          <w:tcPr>
            <w:tcW w:w="628" w:type="pct"/>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spacing w:val="-2"/>
              </w:rPr>
            </w:pPr>
            <w:r>
              <w:rPr>
                <w:rFonts w:hint="eastAsia" w:asciiTheme="minorEastAsia" w:hAnsiTheme="minorEastAsia" w:eastAsiaTheme="minorEastAsia" w:cstheme="minorEastAsia"/>
                <w:b/>
                <w:spacing w:val="-2"/>
              </w:rPr>
              <w:t>数据获取方式</w:t>
            </w:r>
          </w:p>
        </w:tc>
        <w:tc>
          <w:tcPr>
            <w:tcW w:w="628" w:type="pct"/>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spacing w:val="-2"/>
              </w:rPr>
            </w:pPr>
            <w:r>
              <w:rPr>
                <w:rFonts w:hint="eastAsia" w:asciiTheme="minorEastAsia" w:hAnsiTheme="minorEastAsia" w:eastAsiaTheme="minorEastAsia" w:cstheme="minorEastAsia"/>
                <w:b/>
                <w:spacing w:val="-2"/>
              </w:rPr>
              <w:t>时间代表性</w:t>
            </w:r>
          </w:p>
        </w:tc>
        <w:tc>
          <w:tcPr>
            <w:tcW w:w="628" w:type="pct"/>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spacing w:val="-2"/>
              </w:rPr>
            </w:pPr>
            <w:r>
              <w:rPr>
                <w:rFonts w:hint="eastAsia" w:asciiTheme="minorEastAsia" w:hAnsiTheme="minorEastAsia" w:eastAsiaTheme="minorEastAsia" w:cstheme="minorEastAsia"/>
                <w:b/>
                <w:spacing w:val="-2"/>
              </w:rPr>
              <w:t>地域代表性</w:t>
            </w:r>
          </w:p>
        </w:tc>
        <w:tc>
          <w:tcPr>
            <w:tcW w:w="629" w:type="pct"/>
            <w:tcBorders>
              <w:bottom w:val="single" w:color="000000" w:sz="10" w:space="0"/>
            </w:tcBorders>
            <w:vAlign w:val="center"/>
          </w:tcPr>
          <w:p>
            <w:pPr>
              <w:pStyle w:val="28"/>
              <w:spacing w:line="240" w:lineRule="atLeast"/>
              <w:jc w:val="center"/>
              <w:rPr>
                <w:rFonts w:asciiTheme="minorEastAsia" w:hAnsiTheme="minorEastAsia" w:eastAsiaTheme="minorEastAsia" w:cstheme="minorEastAsia"/>
                <w:b/>
                <w:spacing w:val="-2"/>
              </w:rPr>
            </w:pPr>
            <w:r>
              <w:rPr>
                <w:rFonts w:hint="eastAsia" w:asciiTheme="minorEastAsia" w:hAnsiTheme="minorEastAsia" w:eastAsiaTheme="minorEastAsia" w:cstheme="minorEastAsia"/>
                <w:b/>
                <w:spacing w:val="-2"/>
              </w:rPr>
              <w:t>技术代表性</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restart"/>
            <w:tcBorders>
              <w:top w:val="single" w:color="000000" w:sz="10" w:space="0"/>
              <w:bottom w:val="nil"/>
            </w:tcBorders>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原辅料</w:t>
            </w:r>
          </w:p>
        </w:tc>
        <w:tc>
          <w:tcPr>
            <w:tcW w:w="943" w:type="pct"/>
            <w:tcBorders>
              <w:top w:val="single" w:color="000000" w:sz="10" w:space="0"/>
            </w:tcBorders>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橡胶-天然橡胶</w:t>
            </w:r>
          </w:p>
        </w:tc>
        <w:tc>
          <w:tcPr>
            <w:tcW w:w="628" w:type="pct"/>
            <w:tcBorders>
              <w:top w:val="single" w:color="000000" w:sz="10" w:space="0"/>
            </w:tcBorders>
            <w:vAlign w:val="center"/>
          </w:tcPr>
          <w:p>
            <w:pPr>
              <w:spacing w:line="240" w:lineRule="atLeast"/>
              <w:jc w:val="center"/>
              <w:rPr>
                <w:rFonts w:asciiTheme="minorEastAsia" w:hAnsiTheme="minorEastAsia" w:cstheme="minorEastAsia"/>
                <w:szCs w:val="21"/>
              </w:rPr>
            </w:pPr>
          </w:p>
        </w:tc>
        <w:tc>
          <w:tcPr>
            <w:tcW w:w="628" w:type="pct"/>
            <w:tcBorders>
              <w:top w:val="single" w:color="000000" w:sz="10" w:space="0"/>
            </w:tcBorders>
            <w:vAlign w:val="center"/>
          </w:tcPr>
          <w:p>
            <w:pPr>
              <w:spacing w:line="240" w:lineRule="atLeast"/>
              <w:jc w:val="center"/>
              <w:rPr>
                <w:rFonts w:asciiTheme="minorEastAsia" w:hAnsiTheme="minorEastAsia" w:cstheme="minorEastAsia"/>
                <w:szCs w:val="21"/>
              </w:rPr>
            </w:pPr>
          </w:p>
        </w:tc>
        <w:tc>
          <w:tcPr>
            <w:tcW w:w="628" w:type="pct"/>
            <w:tcBorders>
              <w:top w:val="single" w:color="000000" w:sz="10" w:space="0"/>
            </w:tcBorders>
            <w:vAlign w:val="center"/>
          </w:tcPr>
          <w:p>
            <w:pPr>
              <w:spacing w:line="240" w:lineRule="atLeast"/>
              <w:jc w:val="center"/>
              <w:rPr>
                <w:rFonts w:asciiTheme="minorEastAsia" w:hAnsiTheme="minorEastAsia" w:cstheme="minorEastAsia"/>
                <w:szCs w:val="21"/>
              </w:rPr>
            </w:pPr>
          </w:p>
        </w:tc>
        <w:tc>
          <w:tcPr>
            <w:tcW w:w="628" w:type="pct"/>
            <w:tcBorders>
              <w:top w:val="single" w:color="000000" w:sz="10" w:space="0"/>
            </w:tcBorders>
            <w:vAlign w:val="center"/>
          </w:tcPr>
          <w:p>
            <w:pPr>
              <w:spacing w:line="240" w:lineRule="atLeast"/>
              <w:jc w:val="center"/>
              <w:rPr>
                <w:rFonts w:asciiTheme="minorEastAsia" w:hAnsiTheme="minorEastAsia" w:cstheme="minorEastAsia"/>
                <w:szCs w:val="21"/>
              </w:rPr>
            </w:pPr>
          </w:p>
        </w:tc>
        <w:tc>
          <w:tcPr>
            <w:tcW w:w="628" w:type="pct"/>
            <w:tcBorders>
              <w:top w:val="single" w:color="000000" w:sz="10" w:space="0"/>
            </w:tcBorders>
            <w:vAlign w:val="center"/>
          </w:tcPr>
          <w:p>
            <w:pPr>
              <w:spacing w:line="240" w:lineRule="atLeast"/>
              <w:jc w:val="center"/>
              <w:rPr>
                <w:rFonts w:asciiTheme="minorEastAsia" w:hAnsiTheme="minorEastAsia" w:cstheme="minorEastAsia"/>
                <w:szCs w:val="21"/>
              </w:rPr>
            </w:pPr>
          </w:p>
        </w:tc>
        <w:tc>
          <w:tcPr>
            <w:tcW w:w="629" w:type="pct"/>
            <w:tcBorders>
              <w:top w:val="single" w:color="000000" w:sz="10" w:space="0"/>
            </w:tcBorders>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橡胶-合成橡胶</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补强材料-二氧化硅</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spacing w:val="-4"/>
              </w:rPr>
            </w:pPr>
            <w:r>
              <w:rPr>
                <w:rFonts w:ascii="Times New Roman" w:hAnsi="Times New Roman" w:eastAsia="Times New Roman" w:cs="Times New Roman"/>
                <w:position w:val="1"/>
                <w:sz w:val="18"/>
                <w:szCs w:val="18"/>
              </w:rPr>
              <w:t>补强材料-炭黑</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spacing w:val="-4"/>
              </w:rPr>
            </w:pPr>
            <w:r>
              <w:rPr>
                <w:rFonts w:ascii="Times New Roman" w:hAnsi="Times New Roman" w:eastAsia="Times New Roman" w:cs="Times New Roman"/>
                <w:position w:val="1"/>
                <w:sz w:val="18"/>
                <w:szCs w:val="18"/>
              </w:rPr>
              <w:t>助剂-钴盐</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spacing w:val="-4"/>
              </w:rPr>
            </w:pPr>
            <w:r>
              <w:rPr>
                <w:rFonts w:ascii="Times New Roman" w:hAnsi="Times New Roman" w:eastAsia="Times New Roman" w:cs="Times New Roman"/>
                <w:position w:val="1"/>
                <w:sz w:val="18"/>
                <w:szCs w:val="18"/>
              </w:rPr>
              <w:t>助剂-增塑剂</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spacing w:val="-4"/>
              </w:rPr>
            </w:pPr>
            <w:r>
              <w:rPr>
                <w:rFonts w:ascii="Times New Roman" w:hAnsi="Times New Roman" w:eastAsia="Times New Roman" w:cs="Times New Roman"/>
                <w:position w:val="1"/>
                <w:sz w:val="18"/>
                <w:szCs w:val="18"/>
              </w:rPr>
              <w:t>助剂-脱模剂</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骨架材料-钢丝</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骨架材料-尼龙</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骨架材料-聚酯纤维</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heme="minorEastAsia" w:hAnsiTheme="minorEastAsia" w:cstheme="minorEastAsia"/>
              </w:rPr>
            </w:pPr>
            <w:r>
              <w:rPr>
                <w:rFonts w:ascii="Times New Roman" w:hAnsi="Times New Roman" w:eastAsia="Times New Roman" w:cs="Times New Roman"/>
                <w:position w:val="1"/>
                <w:sz w:val="18"/>
                <w:szCs w:val="18"/>
              </w:rPr>
              <w:t>.......</w:t>
            </w: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restart"/>
            <w:tcBorders>
              <w:bottom w:val="nil"/>
            </w:tcBorders>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能源</w:t>
            </w: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煤</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汽油</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柴油</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天然气</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电力</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电力-光伏</w:t>
            </w:r>
          </w:p>
        </w:tc>
        <w:tc>
          <w:tcPr>
            <w:tcW w:w="628" w:type="pct"/>
            <w:vAlign w:val="center"/>
          </w:tcPr>
          <w:p>
            <w:pPr>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imes New Roman" w:hAnsi="Times New Roman" w:eastAsia="Times New Roman" w:cs="Times New Roman"/>
                <w:position w:val="1"/>
                <w:sz w:val="18"/>
                <w:szCs w:val="18"/>
              </w:rPr>
            </w:pPr>
          </w:p>
        </w:tc>
        <w:tc>
          <w:tcPr>
            <w:tcW w:w="628" w:type="pct"/>
            <w:vAlign w:val="center"/>
          </w:tcPr>
          <w:p>
            <w:pPr>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imes New Roman" w:hAnsi="Times New Roman" w:eastAsia="Times New Roman" w:cs="Times New Roman"/>
                <w:position w:val="1"/>
                <w:sz w:val="18"/>
                <w:szCs w:val="18"/>
              </w:rPr>
            </w:pPr>
            <w:r>
              <w:rPr>
                <w:rFonts w:hint="eastAsia" w:ascii="Times New Roman" w:hAnsi="Times New Roman" w:eastAsia="Times New Roman" w:cs="Times New Roman"/>
                <w:position w:val="1"/>
                <w:sz w:val="18"/>
                <w:szCs w:val="18"/>
              </w:rPr>
              <w:t>……</w:t>
            </w:r>
          </w:p>
        </w:tc>
        <w:tc>
          <w:tcPr>
            <w:tcW w:w="628" w:type="pct"/>
            <w:vAlign w:val="center"/>
          </w:tcPr>
          <w:p>
            <w:pPr>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restart"/>
            <w:tcBorders>
              <w:bottom w:val="nil"/>
            </w:tcBorders>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运输</w:t>
            </w: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公路运输</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bottom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铁路运输</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imes New Roman" w:hAnsi="Times New Roman" w:eastAsia="Times New Roman" w:cs="Times New Roman"/>
                <w:position w:val="1"/>
                <w:sz w:val="18"/>
                <w:szCs w:val="18"/>
              </w:rPr>
            </w:pPr>
            <w:r>
              <w:rPr>
                <w:rFonts w:ascii="Times New Roman" w:hAnsi="Times New Roman" w:eastAsia="Times New Roman" w:cs="Times New Roman"/>
                <w:position w:val="1"/>
                <w:sz w:val="18"/>
                <w:szCs w:val="18"/>
              </w:rPr>
              <w:t>海运运输</w:t>
            </w:r>
          </w:p>
        </w:tc>
        <w:tc>
          <w:tcPr>
            <w:tcW w:w="628" w:type="pct"/>
            <w:vAlign w:val="center"/>
          </w:tcPr>
          <w:p>
            <w:pPr>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jc w:val="center"/>
              <w:rPr>
                <w:rFonts w:ascii="Times New Roman" w:hAnsi="Times New Roman" w:eastAsia="Times New Roman" w:cs="Times New Roman"/>
                <w:position w:val="1"/>
                <w:sz w:val="18"/>
                <w:szCs w:val="18"/>
              </w:rPr>
            </w:pPr>
          </w:p>
        </w:tc>
        <w:tc>
          <w:tcPr>
            <w:tcW w:w="943" w:type="pct"/>
            <w:vAlign w:val="center"/>
          </w:tcPr>
          <w:p>
            <w:pPr>
              <w:jc w:val="center"/>
              <w:rPr>
                <w:rFonts w:ascii="Times New Roman" w:hAnsi="Times New Roman" w:eastAsia="Times New Roman" w:cs="Times New Roman"/>
                <w:position w:val="1"/>
                <w:sz w:val="18"/>
                <w:szCs w:val="18"/>
              </w:rPr>
            </w:pPr>
            <w:r>
              <w:rPr>
                <w:rFonts w:hint="eastAsia" w:ascii="Times New Roman" w:hAnsi="Times New Roman" w:eastAsia="Times New Roman" w:cs="Times New Roman"/>
                <w:position w:val="1"/>
                <w:sz w:val="18"/>
                <w:szCs w:val="18"/>
              </w:rPr>
              <w:t>……</w:t>
            </w:r>
          </w:p>
        </w:tc>
        <w:tc>
          <w:tcPr>
            <w:tcW w:w="628" w:type="pct"/>
            <w:vAlign w:val="center"/>
          </w:tcPr>
          <w:p>
            <w:pPr>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restart"/>
            <w:tcBorders>
              <w:bottom w:val="nil"/>
            </w:tcBorders>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废弃处理</w:t>
            </w: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焚烧</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82" w:type="pct"/>
            <w:vMerge w:val="continue"/>
            <w:tcBorders>
              <w:top w:val="nil"/>
            </w:tcBorders>
            <w:vAlign w:val="center"/>
          </w:tcPr>
          <w:p>
            <w:pPr>
              <w:spacing w:line="240" w:lineRule="atLeast"/>
              <w:jc w:val="center"/>
              <w:rPr>
                <w:rFonts w:asciiTheme="minorEastAsia" w:hAnsiTheme="minorEastAsia" w:cstheme="minorEastAsia"/>
                <w:szCs w:val="21"/>
              </w:rPr>
            </w:pPr>
          </w:p>
        </w:tc>
        <w:tc>
          <w:tcPr>
            <w:tcW w:w="943" w:type="pct"/>
            <w:vAlign w:val="center"/>
          </w:tcPr>
          <w:p>
            <w:pPr>
              <w:pStyle w:val="28"/>
              <w:spacing w:line="240" w:lineRule="atLeast"/>
              <w:jc w:val="center"/>
              <w:rPr>
                <w:rFonts w:ascii="Times New Roman" w:hAnsi="Times New Roman" w:eastAsia="Times New Roman" w:cs="Times New Roman"/>
                <w:position w:val="1"/>
                <w:sz w:val="18"/>
                <w:szCs w:val="18"/>
                <w:lang w:eastAsia="zh-CN"/>
              </w:rPr>
            </w:pPr>
            <w:r>
              <w:rPr>
                <w:rFonts w:hint="eastAsia" w:ascii="Times New Roman" w:hAnsi="Times New Roman" w:eastAsia="Times New Roman" w:cs="Times New Roman"/>
                <w:position w:val="1"/>
                <w:sz w:val="18"/>
                <w:szCs w:val="18"/>
                <w:lang w:eastAsia="zh-CN"/>
              </w:rPr>
              <w:t>填埋</w:t>
            </w:r>
          </w:p>
        </w:tc>
        <w:tc>
          <w:tcPr>
            <w:tcW w:w="628" w:type="pct"/>
            <w:vAlign w:val="center"/>
          </w:tcPr>
          <w:p>
            <w:pPr>
              <w:spacing w:line="240" w:lineRule="atLeast"/>
              <w:jc w:val="center"/>
              <w:rPr>
                <w:rFonts w:ascii="Times New Roman" w:hAnsi="Times New Roman" w:eastAsia="Times New Roman" w:cs="Times New Roman"/>
                <w:position w:val="1"/>
                <w:sz w:val="18"/>
                <w:szCs w:val="18"/>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8" w:type="pct"/>
            <w:vAlign w:val="center"/>
          </w:tcPr>
          <w:p>
            <w:pPr>
              <w:spacing w:line="240" w:lineRule="atLeast"/>
              <w:jc w:val="center"/>
              <w:rPr>
                <w:rFonts w:asciiTheme="minorEastAsia" w:hAnsiTheme="minorEastAsia" w:cstheme="minorEastAsia"/>
                <w:szCs w:val="21"/>
              </w:rPr>
            </w:pPr>
          </w:p>
        </w:tc>
        <w:tc>
          <w:tcPr>
            <w:tcW w:w="629" w:type="pct"/>
            <w:vAlign w:val="center"/>
          </w:tcPr>
          <w:p>
            <w:pPr>
              <w:spacing w:line="240" w:lineRule="atLeast"/>
              <w:jc w:val="center"/>
              <w:rPr>
                <w:rFonts w:asciiTheme="minorEastAsia" w:hAnsiTheme="minorEastAsia" w:cstheme="minorEastAsia"/>
                <w:szCs w:val="21"/>
              </w:rPr>
            </w:pPr>
          </w:p>
        </w:tc>
      </w:tr>
    </w:tbl>
    <w:p>
      <w:pPr>
        <w:rPr>
          <w:rFonts w:cs="Times New Roman"/>
          <w:sz w:val="28"/>
          <w:szCs w:val="28"/>
        </w:rPr>
      </w:pPr>
      <w:r>
        <w:rPr>
          <w:rFonts w:cs="Times New Roman"/>
          <w:sz w:val="28"/>
          <w:szCs w:val="28"/>
        </w:rPr>
        <w:br w:type="page"/>
      </w:r>
    </w:p>
    <w:p>
      <w:pPr>
        <w:widowControl/>
        <w:jc w:val="left"/>
      </w:pPr>
      <w:r>
        <w:rPr>
          <w:rFonts w:hint="eastAsia" w:ascii="黑体" w:hAnsi="黑体" w:eastAsia="黑体" w:cs="Times New Roman"/>
          <w:bCs/>
          <w:kern w:val="44"/>
          <w:sz w:val="28"/>
          <w:szCs w:val="28"/>
        </w:rPr>
        <w:t>附录B</w:t>
      </w:r>
      <w:bookmarkEnd w:id="25"/>
      <w:bookmarkStart w:id="30" w:name="_Toc12289660"/>
      <w:bookmarkStart w:id="31" w:name="_Toc496642796"/>
      <w:bookmarkStart w:id="32" w:name="_Toc511807166"/>
      <w:bookmarkStart w:id="33" w:name="_Toc511806863"/>
    </w:p>
    <w:p>
      <w:pPr>
        <w:ind w:firstLine="420"/>
      </w:pPr>
    </w:p>
    <w:p>
      <w:pPr>
        <w:pStyle w:val="3"/>
        <w:spacing w:line="221" w:lineRule="auto"/>
        <w:jc w:val="center"/>
        <w:outlineLvl w:val="0"/>
        <w:rPr>
          <w:rFonts w:ascii="黑体" w:hAnsi="黑体" w:eastAsia="黑体" w:cs="黑体"/>
          <w:bCs/>
          <w:spacing w:val="-1"/>
          <w:sz w:val="28"/>
          <w:szCs w:val="28"/>
          <w:lang w:eastAsia="zh-CN"/>
        </w:rPr>
      </w:pPr>
      <w:bookmarkStart w:id="34" w:name="_Toc15372"/>
      <w:r>
        <w:rPr>
          <w:rFonts w:hint="eastAsia" w:ascii="黑体" w:hAnsi="黑体" w:eastAsia="黑体" w:cs="黑体"/>
          <w:bCs/>
          <w:spacing w:val="-1"/>
          <w:sz w:val="28"/>
          <w:szCs w:val="28"/>
          <w:lang w:val="zh-CN" w:eastAsia="zh-CN"/>
        </w:rPr>
        <w:t>附录 B</w:t>
      </w:r>
      <w:bookmarkEnd w:id="34"/>
      <w:bookmarkStart w:id="35" w:name="_Toc5009"/>
      <w:r>
        <w:rPr>
          <w:rFonts w:hint="eastAsia" w:ascii="黑体" w:hAnsi="黑体" w:eastAsia="黑体" w:cs="黑体"/>
          <w:bCs/>
          <w:spacing w:val="-1"/>
          <w:sz w:val="28"/>
          <w:szCs w:val="28"/>
          <w:lang w:eastAsia="zh-CN"/>
        </w:rPr>
        <w:t xml:space="preserve"> </w:t>
      </w:r>
    </w:p>
    <w:p>
      <w:pPr>
        <w:pStyle w:val="3"/>
        <w:spacing w:line="221" w:lineRule="auto"/>
        <w:jc w:val="center"/>
        <w:outlineLvl w:val="0"/>
        <w:rPr>
          <w:rFonts w:ascii="黑体" w:hAnsi="黑体" w:eastAsia="黑体" w:cs="黑体"/>
          <w:bCs/>
          <w:spacing w:val="-1"/>
          <w:sz w:val="28"/>
          <w:szCs w:val="28"/>
          <w:lang w:val="zh-CN" w:eastAsia="zh-CN"/>
        </w:rPr>
      </w:pPr>
      <w:r>
        <w:rPr>
          <w:rFonts w:hint="eastAsia" w:ascii="黑体" w:hAnsi="黑体" w:eastAsia="黑体" w:cs="黑体"/>
          <w:bCs/>
          <w:spacing w:val="-1"/>
          <w:sz w:val="28"/>
          <w:szCs w:val="28"/>
          <w:lang w:eastAsia="zh-CN"/>
        </w:rPr>
        <w:t>（资料性</w:t>
      </w:r>
      <w:r>
        <w:rPr>
          <w:rFonts w:hint="eastAsia" w:ascii="黑体" w:hAnsi="黑体" w:eastAsia="黑体" w:cs="黑体"/>
          <w:bCs/>
          <w:spacing w:val="-1"/>
          <w:sz w:val="28"/>
          <w:szCs w:val="28"/>
          <w:lang w:val="zh-CN" w:eastAsia="zh-CN"/>
        </w:rPr>
        <w:t>）</w:t>
      </w:r>
      <w:bookmarkEnd w:id="35"/>
    </w:p>
    <w:p>
      <w:pPr>
        <w:pStyle w:val="3"/>
        <w:spacing w:line="221" w:lineRule="auto"/>
        <w:jc w:val="center"/>
        <w:outlineLvl w:val="0"/>
        <w:rPr>
          <w:rFonts w:ascii="黑体" w:hAnsi="黑体" w:eastAsia="黑体" w:cs="黑体"/>
          <w:bCs/>
          <w:spacing w:val="-1"/>
          <w:sz w:val="28"/>
          <w:szCs w:val="28"/>
          <w:lang w:val="zh-CN" w:eastAsia="zh-CN"/>
        </w:rPr>
      </w:pPr>
      <w:bookmarkStart w:id="36" w:name="bookmark14"/>
      <w:bookmarkEnd w:id="36"/>
      <w:bookmarkStart w:id="37" w:name="_Toc9747"/>
      <w:r>
        <w:rPr>
          <w:rFonts w:hint="eastAsia" w:ascii="黑体" w:hAnsi="黑体" w:eastAsia="黑体" w:cs="黑体"/>
          <w:bCs/>
          <w:spacing w:val="-1"/>
          <w:sz w:val="28"/>
          <w:szCs w:val="28"/>
          <w:lang w:val="zh-CN" w:eastAsia="zh-CN"/>
        </w:rPr>
        <w:t>常用参数参考值</w:t>
      </w:r>
      <w:bookmarkEnd w:id="37"/>
    </w:p>
    <w:p>
      <w:pPr>
        <w:spacing w:before="20" w:line="228" w:lineRule="auto"/>
        <w:ind w:firstLine="516" w:firstLineChars="200"/>
        <w:rPr>
          <w:rFonts w:cs="宋体" w:asciiTheme="minorEastAsia" w:hAnsiTheme="minorEastAsia"/>
          <w:sz w:val="24"/>
          <w:szCs w:val="24"/>
        </w:rPr>
      </w:pPr>
      <w:r>
        <w:rPr>
          <w:rFonts w:cs="宋体" w:asciiTheme="minorEastAsia" w:hAnsiTheme="minorEastAsia"/>
          <w:spacing w:val="9"/>
          <w:sz w:val="24"/>
          <w:szCs w:val="24"/>
        </w:rPr>
        <w:t>雪地轮胎产品使用阶段和废弃处理阶段温室气体排放计算</w:t>
      </w:r>
      <w:r>
        <w:rPr>
          <w:rFonts w:cs="宋体" w:asciiTheme="minorEastAsia" w:hAnsiTheme="minorEastAsia"/>
          <w:spacing w:val="8"/>
          <w:sz w:val="24"/>
          <w:szCs w:val="24"/>
        </w:rPr>
        <w:t>所需雪地轮胎产品及车辆参数的缺省值如表</w:t>
      </w:r>
      <w:r>
        <w:rPr>
          <w:rFonts w:ascii="Times New Roman" w:hAnsi="Times New Roman" w:cs="Times New Roman"/>
          <w:spacing w:val="8"/>
          <w:sz w:val="24"/>
          <w:szCs w:val="24"/>
        </w:rPr>
        <w:t>B.1</w:t>
      </w:r>
      <w:r>
        <w:rPr>
          <w:rFonts w:cs="宋体" w:asciiTheme="minorEastAsia" w:hAnsiTheme="minorEastAsia"/>
          <w:spacing w:val="8"/>
          <w:sz w:val="24"/>
          <w:szCs w:val="24"/>
        </w:rPr>
        <w:t>所示。</w:t>
      </w:r>
    </w:p>
    <w:p>
      <w:pPr>
        <w:pStyle w:val="3"/>
        <w:spacing w:before="27" w:line="229" w:lineRule="auto"/>
        <w:ind w:left="3436"/>
        <w:rPr>
          <w:rFonts w:ascii="黑体" w:hAnsi="黑体" w:eastAsia="黑体"/>
          <w:lang w:eastAsia="zh-CN"/>
        </w:rPr>
      </w:pPr>
      <w:r>
        <w:rPr>
          <w:rFonts w:ascii="黑体" w:hAnsi="黑体" w:eastAsia="黑体"/>
          <w:spacing w:val="7"/>
          <w:lang w:eastAsia="zh-CN"/>
        </w:rPr>
        <w:t>表B.1 汽车用轮胎相关参数参考值</w:t>
      </w:r>
    </w:p>
    <w:p>
      <w:pPr>
        <w:spacing w:line="128" w:lineRule="exact"/>
        <w:rPr>
          <w:sz w:val="18"/>
          <w:szCs w:val="18"/>
        </w:rPr>
      </w:pPr>
    </w:p>
    <w:tbl>
      <w:tblPr>
        <w:tblStyle w:val="29"/>
        <w:tblW w:w="9574" w:type="dxa"/>
        <w:tblInd w:w="2"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2142"/>
        <w:gridCol w:w="2488"/>
        <w:gridCol w:w="2471"/>
        <w:gridCol w:w="2473"/>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1306" w:hRule="atLeast"/>
        </w:trPr>
        <w:tc>
          <w:tcPr>
            <w:tcW w:w="2142" w:type="dxa"/>
            <w:vAlign w:val="center"/>
          </w:tcPr>
          <w:p>
            <w:pPr>
              <w:pStyle w:val="28"/>
              <w:spacing w:before="62"/>
              <w:jc w:val="center"/>
              <w:rPr>
                <w:rFonts w:ascii="Times New Roman" w:hAnsi="Times New Roman" w:cs="Times New Roman" w:eastAsiaTheme="minorEastAsia"/>
                <w:b/>
                <w:bCs/>
              </w:rPr>
            </w:pPr>
            <w:r>
              <w:rPr>
                <w:rFonts w:ascii="Times New Roman" w:hAnsi="Times New Roman" w:cs="Times New Roman" w:eastAsiaTheme="minorEastAsia"/>
                <w:b/>
                <w:bCs/>
                <w:spacing w:val="3"/>
              </w:rPr>
              <w:t>参数</w:t>
            </w:r>
          </w:p>
        </w:tc>
        <w:tc>
          <w:tcPr>
            <w:tcW w:w="2488" w:type="dxa"/>
            <w:vAlign w:val="center"/>
          </w:tcPr>
          <w:p>
            <w:pPr>
              <w:pStyle w:val="28"/>
              <w:spacing w:before="62"/>
              <w:jc w:val="center"/>
              <w:rPr>
                <w:rFonts w:ascii="Times New Roman" w:hAnsi="Times New Roman" w:cs="Times New Roman" w:eastAsiaTheme="minorEastAsia"/>
                <w:b/>
                <w:bCs/>
              </w:rPr>
            </w:pPr>
            <w:r>
              <w:rPr>
                <w:rFonts w:ascii="Times New Roman" w:hAnsi="Times New Roman" w:cs="Times New Roman" w:eastAsiaTheme="minorEastAsia"/>
                <w:b/>
                <w:bCs/>
                <w:spacing w:val="6"/>
              </w:rPr>
              <w:t>轿车轮胎</w:t>
            </w:r>
          </w:p>
        </w:tc>
        <w:tc>
          <w:tcPr>
            <w:tcW w:w="2471" w:type="dxa"/>
            <w:vAlign w:val="center"/>
          </w:tcPr>
          <w:p>
            <w:pPr>
              <w:pStyle w:val="28"/>
              <w:spacing w:before="293"/>
              <w:jc w:val="center"/>
              <w:rPr>
                <w:rFonts w:ascii="Times New Roman" w:hAnsi="Times New Roman" w:cs="Times New Roman" w:eastAsiaTheme="minorEastAsia"/>
                <w:b/>
                <w:bCs/>
                <w:lang w:eastAsia="zh-CN"/>
              </w:rPr>
            </w:pPr>
            <w:r>
              <w:rPr>
                <w:rFonts w:ascii="Times New Roman" w:hAnsi="Times New Roman" w:cs="Times New Roman" w:eastAsiaTheme="minorEastAsia"/>
                <w:b/>
                <w:bCs/>
                <w:spacing w:val="7"/>
                <w:lang w:eastAsia="zh-CN"/>
              </w:rPr>
              <w:t>单胎负荷指数≤121且速度级</w:t>
            </w:r>
            <w:r>
              <w:rPr>
                <w:rFonts w:ascii="Times New Roman" w:hAnsi="Times New Roman" w:cs="Times New Roman" w:eastAsiaTheme="minorEastAsia"/>
                <w:b/>
                <w:bCs/>
                <w:spacing w:val="4"/>
                <w:lang w:eastAsia="zh-CN"/>
              </w:rPr>
              <w:t>别为N及其以上的微型、轻型</w:t>
            </w:r>
            <w:r>
              <w:rPr>
                <w:rFonts w:ascii="Times New Roman" w:hAnsi="Times New Roman" w:cs="Times New Roman" w:eastAsiaTheme="minorEastAsia"/>
                <w:b/>
                <w:bCs/>
                <w:spacing w:val="6"/>
                <w:lang w:eastAsia="zh-CN"/>
              </w:rPr>
              <w:t>载重汽车轮胎</w:t>
            </w:r>
          </w:p>
        </w:tc>
        <w:tc>
          <w:tcPr>
            <w:tcW w:w="2473" w:type="dxa"/>
            <w:vAlign w:val="center"/>
          </w:tcPr>
          <w:p>
            <w:pPr>
              <w:pStyle w:val="28"/>
              <w:spacing w:before="34"/>
              <w:jc w:val="center"/>
              <w:rPr>
                <w:rFonts w:ascii="Times New Roman" w:hAnsi="Times New Roman" w:cs="Times New Roman" w:eastAsiaTheme="minorEastAsia"/>
                <w:b/>
                <w:bCs/>
                <w:lang w:eastAsia="zh-CN"/>
              </w:rPr>
            </w:pPr>
            <w:r>
              <w:rPr>
                <w:rFonts w:ascii="Times New Roman" w:hAnsi="Times New Roman" w:cs="Times New Roman" w:eastAsiaTheme="minorEastAsia"/>
                <w:b/>
                <w:bCs/>
                <w:spacing w:val="7"/>
                <w:lang w:eastAsia="zh-CN"/>
              </w:rPr>
              <w:t>单胎负荷指数≤121且速度级别为M及其以下的微型、轻型载重汽车轮胎或单胎负荷指数＞121</w:t>
            </w:r>
            <w:r>
              <w:rPr>
                <w:rFonts w:ascii="Times New Roman" w:hAnsi="Times New Roman" w:cs="Times New Roman" w:eastAsiaTheme="minorEastAsia"/>
                <w:b/>
                <w:bCs/>
                <w:spacing w:val="5"/>
                <w:lang w:eastAsia="zh-CN"/>
              </w:rPr>
              <w:t>的微型、轻型载重汽车轮胎或载</w:t>
            </w:r>
            <w:r>
              <w:rPr>
                <w:rFonts w:ascii="Times New Roman" w:hAnsi="Times New Roman" w:cs="Times New Roman" w:eastAsiaTheme="minorEastAsia"/>
                <w:b/>
                <w:bCs/>
                <w:spacing w:val="6"/>
                <w:lang w:eastAsia="zh-CN"/>
              </w:rPr>
              <w:t>重汽车轮胎</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纯电利用系数</w:t>
            </w:r>
            <w:r>
              <w:rPr>
                <w:rFonts w:ascii="Times New Roman" w:hAnsi="Times New Roman" w:cs="Times New Roman"/>
                <w:szCs w:val="21"/>
                <w:vertAlign w:val="superscript"/>
              </w:rPr>
              <w:t>a</w:t>
            </w:r>
          </w:p>
        </w:tc>
        <w:tc>
          <w:tcPr>
            <w:tcW w:w="7432" w:type="dxa"/>
            <w:gridSpan w:val="3"/>
            <w:vAlign w:val="center"/>
          </w:tcPr>
          <w:p>
            <w:pPr>
              <w:spacing w:before="49"/>
              <w:jc w:val="center"/>
              <w:rPr>
                <w:rFonts w:ascii="Times New Roman" w:hAnsi="Times New Roman" w:cs="Times New Roman"/>
                <w:szCs w:val="21"/>
              </w:rPr>
            </w:pPr>
            <w:r>
              <w:rPr>
                <w:rFonts w:ascii="Times New Roman" w:hAnsi="Times New Roman" w:cs="Times New Roman"/>
                <w:spacing w:val="2"/>
                <w:szCs w:val="21"/>
              </w:rPr>
              <w:t>0.6</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2142" w:type="dxa"/>
            <w:vAlign w:val="center"/>
          </w:tcPr>
          <w:p>
            <w:pPr>
              <w:spacing w:before="52"/>
              <w:jc w:val="center"/>
              <w:rPr>
                <w:rFonts w:hint="eastAsia" w:ascii="Times New Roman" w:hAnsi="Times New Roman" w:cs="Times New Roman"/>
                <w:szCs w:val="21"/>
              </w:rPr>
            </w:pPr>
            <w:r>
              <w:rPr>
                <w:rFonts w:ascii="Times New Roman" w:hAnsi="Times New Roman" w:cs="Times New Roman"/>
                <w:szCs w:val="21"/>
              </w:rPr>
              <w:t>轮胎生命周期</w:t>
            </w:r>
          </w:p>
          <w:p>
            <w:pPr>
              <w:spacing w:before="52"/>
              <w:jc w:val="center"/>
              <w:rPr>
                <w:rFonts w:ascii="Times New Roman" w:hAnsi="Times New Roman" w:cs="Times New Roman"/>
                <w:szCs w:val="21"/>
              </w:rPr>
            </w:pPr>
            <w:r>
              <w:rPr>
                <w:rFonts w:ascii="Times New Roman" w:hAnsi="Times New Roman" w:cs="Times New Roman"/>
                <w:szCs w:val="21"/>
              </w:rPr>
              <w:t>使用里程</w:t>
            </w:r>
            <w:r>
              <w:rPr>
                <w:rFonts w:ascii="Times New Roman" w:hAnsi="Times New Roman" w:cs="Times New Roman"/>
                <w:szCs w:val="21"/>
                <w:vertAlign w:val="superscript"/>
              </w:rPr>
              <w:t>a</w:t>
            </w:r>
            <w:r>
              <w:rPr>
                <w:rFonts w:hint="eastAsia" w:ascii="Times New Roman" w:hAnsi="Times New Roman" w:cs="Times New Roman"/>
                <w:szCs w:val="21"/>
              </w:rPr>
              <w:t>（</w:t>
            </w:r>
            <w:r>
              <w:rPr>
                <w:rFonts w:ascii="Times New Roman" w:hAnsi="Times New Roman" w:cs="Times New Roman"/>
                <w:szCs w:val="21"/>
              </w:rPr>
              <w:t>km</w:t>
            </w:r>
            <w:r>
              <w:rPr>
                <w:rFonts w:hint="eastAsia" w:ascii="Times New Roman" w:hAnsi="Times New Roman" w:cs="Times New Roman"/>
                <w:szCs w:val="21"/>
              </w:rPr>
              <w:t>）</w:t>
            </w:r>
          </w:p>
        </w:tc>
        <w:tc>
          <w:tcPr>
            <w:tcW w:w="2488" w:type="dxa"/>
            <w:vAlign w:val="center"/>
          </w:tcPr>
          <w:p>
            <w:pPr>
              <w:spacing w:before="49"/>
              <w:jc w:val="center"/>
              <w:rPr>
                <w:rFonts w:ascii="Times New Roman" w:hAnsi="Times New Roman" w:cs="Times New Roman"/>
                <w:szCs w:val="21"/>
              </w:rPr>
            </w:pPr>
            <w:r>
              <w:rPr>
                <w:rFonts w:ascii="Times New Roman" w:hAnsi="Times New Roman" w:cs="Times New Roman"/>
                <w:spacing w:val="3"/>
                <w:szCs w:val="21"/>
              </w:rPr>
              <w:t>50000</w:t>
            </w:r>
          </w:p>
        </w:tc>
        <w:tc>
          <w:tcPr>
            <w:tcW w:w="2471" w:type="dxa"/>
            <w:vAlign w:val="center"/>
          </w:tcPr>
          <w:p>
            <w:pPr>
              <w:spacing w:before="49"/>
              <w:jc w:val="center"/>
              <w:rPr>
                <w:rFonts w:ascii="Times New Roman" w:hAnsi="Times New Roman" w:cs="Times New Roman"/>
                <w:szCs w:val="21"/>
              </w:rPr>
            </w:pPr>
            <w:r>
              <w:rPr>
                <w:rFonts w:ascii="Times New Roman" w:hAnsi="Times New Roman" w:cs="Times New Roman"/>
                <w:spacing w:val="1"/>
                <w:szCs w:val="21"/>
              </w:rPr>
              <w:t>100000</w:t>
            </w:r>
          </w:p>
        </w:tc>
        <w:tc>
          <w:tcPr>
            <w:tcW w:w="2473" w:type="dxa"/>
            <w:vAlign w:val="center"/>
          </w:tcPr>
          <w:p>
            <w:pPr>
              <w:spacing w:before="49"/>
              <w:jc w:val="center"/>
              <w:rPr>
                <w:rFonts w:ascii="Times New Roman" w:hAnsi="Times New Roman" w:cs="Times New Roman"/>
                <w:szCs w:val="21"/>
              </w:rPr>
            </w:pPr>
            <w:r>
              <w:rPr>
                <w:rFonts w:ascii="Times New Roman" w:hAnsi="Times New Roman" w:cs="Times New Roman"/>
                <w:spacing w:val="4"/>
                <w:szCs w:val="21"/>
              </w:rPr>
              <w:t>230000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PrEx>
        <w:trPr>
          <w:trHeight w:val="235" w:hRule="atLeast"/>
        </w:trPr>
        <w:tc>
          <w:tcPr>
            <w:tcW w:w="2142" w:type="dxa"/>
            <w:vAlign w:val="center"/>
          </w:tcPr>
          <w:p>
            <w:pPr>
              <w:spacing w:before="52"/>
              <w:jc w:val="center"/>
              <w:rPr>
                <w:rFonts w:hint="eastAsia" w:ascii="Times New Roman" w:hAnsi="Times New Roman" w:cs="Times New Roman"/>
                <w:szCs w:val="21"/>
              </w:rPr>
            </w:pPr>
            <w:r>
              <w:rPr>
                <w:rFonts w:ascii="Times New Roman" w:hAnsi="Times New Roman" w:cs="Times New Roman"/>
                <w:szCs w:val="21"/>
              </w:rPr>
              <w:t>车辆行驶工况中</w:t>
            </w:r>
          </w:p>
          <w:p>
            <w:pPr>
              <w:spacing w:before="52"/>
              <w:jc w:val="center"/>
              <w:rPr>
                <w:rFonts w:hint="eastAsia" w:ascii="Times New Roman" w:hAnsi="Times New Roman" w:cs="Times New Roman"/>
                <w:szCs w:val="21"/>
              </w:rPr>
            </w:pPr>
            <w:r>
              <w:rPr>
                <w:rFonts w:ascii="Times New Roman" w:hAnsi="Times New Roman" w:cs="Times New Roman"/>
                <w:szCs w:val="21"/>
              </w:rPr>
              <w:t>牵引力大于零的</w:t>
            </w:r>
          </w:p>
          <w:p>
            <w:pPr>
              <w:spacing w:before="52"/>
              <w:jc w:val="center"/>
              <w:rPr>
                <w:rFonts w:ascii="Times New Roman" w:hAnsi="Times New Roman" w:cs="Times New Roman"/>
                <w:szCs w:val="21"/>
              </w:rPr>
            </w:pPr>
            <w:r>
              <w:rPr>
                <w:rFonts w:ascii="Times New Roman" w:hAnsi="Times New Roman" w:cs="Times New Roman"/>
                <w:szCs w:val="21"/>
              </w:rPr>
              <w:t>时间百分比</w:t>
            </w:r>
            <w:r>
              <w:rPr>
                <w:rFonts w:ascii="Times New Roman" w:hAnsi="Times New Roman" w:cs="Times New Roman"/>
                <w:szCs w:val="21"/>
                <w:vertAlign w:val="superscript"/>
              </w:rPr>
              <w:t>a</w:t>
            </w:r>
            <w:r>
              <w:rPr>
                <w:rFonts w:ascii="Times New Roman" w:hAnsi="Times New Roman" w:cs="Times New Roman"/>
                <w:szCs w:val="21"/>
              </w:rPr>
              <w:t>（%）</w:t>
            </w:r>
          </w:p>
        </w:tc>
        <w:tc>
          <w:tcPr>
            <w:tcW w:w="2488" w:type="dxa"/>
            <w:vAlign w:val="center"/>
          </w:tcPr>
          <w:p>
            <w:pPr>
              <w:spacing w:before="49"/>
              <w:jc w:val="center"/>
              <w:rPr>
                <w:rFonts w:ascii="Times New Roman" w:hAnsi="Times New Roman" w:cs="Times New Roman"/>
                <w:szCs w:val="21"/>
              </w:rPr>
            </w:pPr>
            <w:r>
              <w:rPr>
                <w:rFonts w:ascii="Times New Roman" w:hAnsi="Times New Roman" w:cs="Times New Roman"/>
                <w:spacing w:val="-1"/>
                <w:szCs w:val="21"/>
              </w:rPr>
              <w:t>80</w:t>
            </w:r>
          </w:p>
        </w:tc>
        <w:tc>
          <w:tcPr>
            <w:tcW w:w="2471" w:type="dxa"/>
            <w:vAlign w:val="center"/>
          </w:tcPr>
          <w:p>
            <w:pPr>
              <w:spacing w:before="49"/>
              <w:jc w:val="center"/>
              <w:rPr>
                <w:rFonts w:ascii="Times New Roman" w:hAnsi="Times New Roman" w:cs="Times New Roman"/>
                <w:szCs w:val="21"/>
              </w:rPr>
            </w:pPr>
            <w:r>
              <w:rPr>
                <w:rFonts w:ascii="Times New Roman" w:hAnsi="Times New Roman" w:cs="Times New Roman"/>
                <w:spacing w:val="-1"/>
                <w:szCs w:val="21"/>
              </w:rPr>
              <w:t>80</w:t>
            </w:r>
          </w:p>
        </w:tc>
        <w:tc>
          <w:tcPr>
            <w:tcW w:w="2473" w:type="dxa"/>
            <w:vAlign w:val="center"/>
          </w:tcPr>
          <w:p>
            <w:pPr>
              <w:spacing w:before="49"/>
              <w:jc w:val="center"/>
              <w:rPr>
                <w:rFonts w:ascii="Times New Roman" w:hAnsi="Times New Roman" w:cs="Times New Roman"/>
                <w:szCs w:val="21"/>
              </w:rPr>
            </w:pPr>
            <w:r>
              <w:rPr>
                <w:rFonts w:ascii="Times New Roman" w:hAnsi="Times New Roman" w:cs="Times New Roman"/>
                <w:spacing w:val="-1"/>
                <w:szCs w:val="21"/>
              </w:rPr>
              <w:t>80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轮胎磨损到胎面磨耗标志时的滚动阻力系数</w:t>
            </w:r>
            <w:r>
              <w:rPr>
                <w:rFonts w:ascii="Times New Roman" w:hAnsi="Times New Roman" w:cs="Times New Roman"/>
                <w:szCs w:val="21"/>
                <w:vertAlign w:val="superscript"/>
              </w:rPr>
              <w:t>a</w:t>
            </w:r>
          </w:p>
        </w:tc>
        <w:tc>
          <w:tcPr>
            <w:tcW w:w="2488" w:type="dxa"/>
            <w:vAlign w:val="center"/>
          </w:tcPr>
          <w:p>
            <w:pPr>
              <w:pStyle w:val="28"/>
              <w:spacing w:before="31"/>
              <w:jc w:val="center"/>
              <w:rPr>
                <w:rFonts w:ascii="Times New Roman" w:hAnsi="Times New Roman" w:cs="Times New Roman" w:eastAsiaTheme="minorEastAsia"/>
              </w:rPr>
            </w:pPr>
            <w:r>
              <w:rPr>
                <w:rFonts w:ascii="Times New Roman" w:hAnsi="Times New Roman" w:cs="Times New Roman" w:eastAsiaTheme="minorEastAsia"/>
                <w:spacing w:val="7"/>
              </w:rPr>
              <w:t>0.8×</w:t>
            </w:r>
            <w:r>
              <w:rPr>
                <w:rFonts w:ascii="Times New Roman" w:hAnsi="Times New Roman" w:cs="Times New Roman" w:eastAsiaTheme="minorEastAsia"/>
                <w:i/>
                <w:iCs/>
              </w:rPr>
              <w:t>C</w:t>
            </w:r>
            <w:r>
              <w:rPr>
                <w:rFonts w:ascii="Times New Roman" w:hAnsi="Times New Roman" w:cs="Times New Roman" w:eastAsiaTheme="minorEastAsia"/>
                <w:i/>
                <w:iCs/>
                <w:position w:val="-1"/>
              </w:rPr>
              <w:t>r</w:t>
            </w:r>
          </w:p>
        </w:tc>
        <w:tc>
          <w:tcPr>
            <w:tcW w:w="2471" w:type="dxa"/>
            <w:vAlign w:val="center"/>
          </w:tcPr>
          <w:p>
            <w:pPr>
              <w:pStyle w:val="28"/>
              <w:spacing w:before="31"/>
              <w:jc w:val="center"/>
              <w:rPr>
                <w:rFonts w:ascii="Times New Roman" w:hAnsi="Times New Roman" w:cs="Times New Roman" w:eastAsiaTheme="minorEastAsia"/>
              </w:rPr>
            </w:pPr>
            <w:r>
              <w:rPr>
                <w:rFonts w:ascii="Times New Roman" w:hAnsi="Times New Roman" w:cs="Times New Roman" w:eastAsiaTheme="minorEastAsia"/>
                <w:spacing w:val="6"/>
              </w:rPr>
              <w:t>0.75×</w:t>
            </w:r>
            <w:r>
              <w:rPr>
                <w:rFonts w:ascii="Times New Roman" w:hAnsi="Times New Roman" w:cs="Times New Roman" w:eastAsiaTheme="minorEastAsia"/>
                <w:i/>
                <w:iCs/>
              </w:rPr>
              <w:t>C</w:t>
            </w:r>
            <w:r>
              <w:rPr>
                <w:rFonts w:ascii="Times New Roman" w:hAnsi="Times New Roman" w:cs="Times New Roman" w:eastAsiaTheme="minorEastAsia"/>
                <w:i/>
                <w:iCs/>
                <w:position w:val="-1"/>
              </w:rPr>
              <w:t>r</w:t>
            </w:r>
          </w:p>
        </w:tc>
        <w:tc>
          <w:tcPr>
            <w:tcW w:w="2473" w:type="dxa"/>
            <w:vAlign w:val="center"/>
          </w:tcPr>
          <w:p>
            <w:pPr>
              <w:pStyle w:val="28"/>
              <w:spacing w:before="125"/>
              <w:jc w:val="center"/>
              <w:rPr>
                <w:rFonts w:ascii="Times New Roman" w:hAnsi="Times New Roman" w:cs="Times New Roman" w:eastAsiaTheme="minorEastAsia"/>
              </w:rPr>
            </w:pPr>
            <w:r>
              <w:rPr>
                <w:rFonts w:ascii="Times New Roman" w:hAnsi="Times New Roman" w:cs="Times New Roman" w:eastAsiaTheme="minorEastAsia"/>
                <w:spacing w:val="6"/>
                <w:position w:val="-3"/>
              </w:rPr>
              <w:t>——</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2185"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动力系统效率</w:t>
            </w:r>
            <w:r>
              <w:rPr>
                <w:rFonts w:ascii="Times New Roman" w:hAnsi="Times New Roman" w:cs="Times New Roman"/>
                <w:szCs w:val="21"/>
                <w:vertAlign w:val="superscript"/>
              </w:rPr>
              <w:t>a</w:t>
            </w:r>
          </w:p>
        </w:tc>
        <w:tc>
          <w:tcPr>
            <w:tcW w:w="2488" w:type="dxa"/>
            <w:vAlign w:val="center"/>
          </w:tcPr>
          <w:p>
            <w:pPr>
              <w:pStyle w:val="28"/>
              <w:spacing w:before="26"/>
              <w:ind w:right="107"/>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37%（燃用汽油、柴油或其他燃</w:t>
            </w:r>
            <w:r>
              <w:rPr>
                <w:rFonts w:ascii="Times New Roman" w:hAnsi="Times New Roman" w:cs="Times New Roman" w:eastAsiaTheme="minorEastAsia"/>
                <w:spacing w:val="5"/>
                <w:lang w:eastAsia="zh-CN"/>
              </w:rPr>
              <w:t>料汽车</w:t>
            </w:r>
            <w:r>
              <w:rPr>
                <w:rFonts w:hint="eastAsia" w:ascii="Times New Roman" w:hAnsi="Times New Roman" w:cs="Times New Roman" w:eastAsiaTheme="minorEastAsia"/>
                <w:spacing w:val="5"/>
                <w:lang w:eastAsia="zh-CN"/>
              </w:rPr>
              <w:t>，</w:t>
            </w:r>
            <w:r>
              <w:rPr>
                <w:rFonts w:ascii="Times New Roman" w:hAnsi="Times New Roman" w:cs="Times New Roman" w:eastAsiaTheme="minorEastAsia"/>
                <w:spacing w:val="5"/>
                <w:lang w:eastAsia="zh-CN"/>
              </w:rPr>
              <w:t>含不可外接充电的混合</w:t>
            </w:r>
            <w:r>
              <w:rPr>
                <w:rFonts w:ascii="Times New Roman" w:hAnsi="Times New Roman" w:cs="Times New Roman" w:eastAsiaTheme="minorEastAsia"/>
                <w:spacing w:val="-2"/>
                <w:lang w:eastAsia="zh-CN"/>
              </w:rPr>
              <w:t>动力汽车，不含可外接充电的混</w:t>
            </w:r>
            <w:r>
              <w:rPr>
                <w:rFonts w:ascii="Times New Roman" w:hAnsi="Times New Roman" w:cs="Times New Roman" w:eastAsiaTheme="minorEastAsia"/>
                <w:spacing w:val="3"/>
                <w:lang w:eastAsia="zh-CN"/>
              </w:rPr>
              <w:t>合动力汽车</w:t>
            </w:r>
            <w:r>
              <w:rPr>
                <w:rFonts w:ascii="Times New Roman" w:hAnsi="Times New Roman" w:cs="Times New Roman" w:eastAsiaTheme="minorEastAsia"/>
                <w:spacing w:val="15"/>
                <w:lang w:eastAsia="zh-CN"/>
              </w:rPr>
              <w:t>），</w:t>
            </w:r>
            <w:r>
              <w:rPr>
                <w:rFonts w:ascii="Times New Roman" w:hAnsi="Times New Roman" w:cs="Times New Roman" w:eastAsiaTheme="minorEastAsia"/>
                <w:spacing w:val="3"/>
                <w:lang w:eastAsia="zh-CN"/>
              </w:rPr>
              <w:t>37%（可外接充电的混合动力汽车</w:t>
            </w:r>
            <w:r>
              <w:rPr>
                <w:rFonts w:ascii="Times New Roman" w:hAnsi="Times New Roman" w:cs="Times New Roman" w:eastAsiaTheme="minorEastAsia"/>
                <w:spacing w:val="-3"/>
                <w:lang w:eastAsia="zh-CN"/>
              </w:rPr>
              <w:t>）</w:t>
            </w:r>
            <w:r>
              <w:rPr>
                <w:rFonts w:ascii="Times New Roman" w:hAnsi="Times New Roman" w:cs="Times New Roman" w:eastAsiaTheme="minorEastAsia"/>
                <w:spacing w:val="-54"/>
                <w:lang w:eastAsia="zh-CN"/>
              </w:rPr>
              <w:t xml:space="preserve"> </w:t>
            </w:r>
            <w:r>
              <w:rPr>
                <w:rFonts w:ascii="Times New Roman" w:hAnsi="Times New Roman" w:cs="Times New Roman" w:eastAsiaTheme="minorEastAsia"/>
                <w:spacing w:val="-3"/>
                <w:lang w:eastAsia="zh-CN"/>
              </w:rPr>
              <w:t>，</w:t>
            </w:r>
            <w:r>
              <w:rPr>
                <w:rFonts w:ascii="Times New Roman" w:hAnsi="Times New Roman" w:cs="Times New Roman" w:eastAsiaTheme="minorEastAsia"/>
                <w:spacing w:val="3"/>
                <w:lang w:eastAsia="zh-CN"/>
              </w:rPr>
              <w:t>90%（纯</w:t>
            </w:r>
            <w:r>
              <w:rPr>
                <w:rFonts w:ascii="Times New Roman" w:hAnsi="Times New Roman" w:cs="Times New Roman" w:eastAsiaTheme="minorEastAsia"/>
                <w:spacing w:val="-2"/>
                <w:lang w:eastAsia="zh-CN"/>
              </w:rPr>
              <w:t>电动汽车）</w:t>
            </w:r>
          </w:p>
        </w:tc>
        <w:tc>
          <w:tcPr>
            <w:tcW w:w="2471" w:type="dxa"/>
            <w:vAlign w:val="center"/>
          </w:tcPr>
          <w:p>
            <w:pPr>
              <w:pStyle w:val="28"/>
              <w:spacing w:before="26"/>
              <w:ind w:right="103"/>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42%（燃用汽油、柴油或其他燃</w:t>
            </w:r>
            <w:r>
              <w:rPr>
                <w:rFonts w:ascii="Times New Roman" w:hAnsi="Times New Roman" w:cs="Times New Roman" w:eastAsiaTheme="minorEastAsia"/>
                <w:spacing w:val="5"/>
                <w:lang w:eastAsia="zh-CN"/>
              </w:rPr>
              <w:t>料汽车</w:t>
            </w:r>
            <w:r>
              <w:rPr>
                <w:rFonts w:hint="eastAsia" w:ascii="Times New Roman" w:hAnsi="Times New Roman" w:cs="Times New Roman" w:eastAsiaTheme="minorEastAsia"/>
                <w:spacing w:val="5"/>
                <w:lang w:eastAsia="zh-CN"/>
              </w:rPr>
              <w:t>，</w:t>
            </w:r>
            <w:r>
              <w:rPr>
                <w:rFonts w:ascii="Times New Roman" w:hAnsi="Times New Roman" w:cs="Times New Roman" w:eastAsiaTheme="minorEastAsia"/>
                <w:spacing w:val="5"/>
                <w:lang w:eastAsia="zh-CN"/>
              </w:rPr>
              <w:t>含不可外接充电的混合</w:t>
            </w:r>
            <w:r>
              <w:rPr>
                <w:rFonts w:ascii="Times New Roman" w:hAnsi="Times New Roman" w:cs="Times New Roman" w:eastAsiaTheme="minorEastAsia"/>
                <w:spacing w:val="-2"/>
                <w:lang w:eastAsia="zh-CN"/>
              </w:rPr>
              <w:t>动力汽车，不含可外接充电的混</w:t>
            </w:r>
            <w:r>
              <w:rPr>
                <w:rFonts w:ascii="Times New Roman" w:hAnsi="Times New Roman" w:cs="Times New Roman" w:eastAsiaTheme="minorEastAsia"/>
                <w:spacing w:val="3"/>
                <w:lang w:eastAsia="zh-CN"/>
              </w:rPr>
              <w:t>合动力汽车</w:t>
            </w:r>
            <w:r>
              <w:rPr>
                <w:rFonts w:ascii="Times New Roman" w:hAnsi="Times New Roman" w:cs="Times New Roman" w:eastAsiaTheme="minorEastAsia"/>
                <w:spacing w:val="15"/>
                <w:lang w:eastAsia="zh-CN"/>
              </w:rPr>
              <w:t>），</w:t>
            </w:r>
            <w:r>
              <w:rPr>
                <w:rFonts w:ascii="Times New Roman" w:hAnsi="Times New Roman" w:cs="Times New Roman" w:eastAsiaTheme="minorEastAsia"/>
                <w:spacing w:val="3"/>
                <w:lang w:eastAsia="zh-CN"/>
              </w:rPr>
              <w:t>42%（可外接充电的混合动力汽车</w:t>
            </w:r>
            <w:r>
              <w:rPr>
                <w:rFonts w:ascii="Times New Roman" w:hAnsi="Times New Roman" w:cs="Times New Roman" w:eastAsiaTheme="minorEastAsia"/>
                <w:spacing w:val="-2"/>
                <w:lang w:eastAsia="zh-CN"/>
              </w:rPr>
              <w:t>）</w:t>
            </w:r>
            <w:r>
              <w:rPr>
                <w:rFonts w:ascii="Times New Roman" w:hAnsi="Times New Roman" w:cs="Times New Roman" w:eastAsiaTheme="minorEastAsia"/>
                <w:spacing w:val="-53"/>
                <w:lang w:eastAsia="zh-CN"/>
              </w:rPr>
              <w:t xml:space="preserve"> </w:t>
            </w:r>
            <w:r>
              <w:rPr>
                <w:rFonts w:ascii="Times New Roman" w:hAnsi="Times New Roman" w:cs="Times New Roman" w:eastAsiaTheme="minorEastAsia"/>
                <w:spacing w:val="-2"/>
                <w:lang w:eastAsia="zh-CN"/>
              </w:rPr>
              <w:t>，</w:t>
            </w:r>
            <w:r>
              <w:rPr>
                <w:rFonts w:ascii="Times New Roman" w:hAnsi="Times New Roman" w:cs="Times New Roman" w:eastAsiaTheme="minorEastAsia"/>
                <w:spacing w:val="3"/>
                <w:lang w:eastAsia="zh-CN"/>
              </w:rPr>
              <w:t>90%（纯</w:t>
            </w:r>
            <w:r>
              <w:rPr>
                <w:rFonts w:ascii="Times New Roman" w:hAnsi="Times New Roman" w:cs="Times New Roman" w:eastAsiaTheme="minorEastAsia"/>
                <w:spacing w:val="-2"/>
                <w:lang w:eastAsia="zh-CN"/>
              </w:rPr>
              <w:t>电动汽车）</w:t>
            </w:r>
          </w:p>
        </w:tc>
        <w:tc>
          <w:tcPr>
            <w:tcW w:w="2473" w:type="dxa"/>
            <w:vAlign w:val="center"/>
          </w:tcPr>
          <w:p>
            <w:pPr>
              <w:pStyle w:val="28"/>
              <w:spacing w:before="143"/>
              <w:ind w:right="10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46%（燃用汽油、柴油或其他燃料汽</w:t>
            </w:r>
            <w:r>
              <w:rPr>
                <w:rFonts w:ascii="Times New Roman" w:hAnsi="Times New Roman" w:cs="Times New Roman" w:eastAsiaTheme="minorEastAsia"/>
                <w:spacing w:val="11"/>
                <w:lang w:eastAsia="zh-CN"/>
              </w:rPr>
              <w:t>车</w:t>
            </w:r>
            <w:r>
              <w:rPr>
                <w:rFonts w:hint="eastAsia" w:ascii="Times New Roman" w:hAnsi="Times New Roman" w:cs="Times New Roman" w:eastAsiaTheme="minorEastAsia"/>
                <w:spacing w:val="11"/>
                <w:lang w:eastAsia="zh-CN"/>
              </w:rPr>
              <w:t>，</w:t>
            </w:r>
            <w:r>
              <w:rPr>
                <w:rFonts w:ascii="Times New Roman" w:hAnsi="Times New Roman" w:cs="Times New Roman" w:eastAsiaTheme="minorEastAsia"/>
                <w:spacing w:val="11"/>
                <w:lang w:eastAsia="zh-CN"/>
              </w:rPr>
              <w:t>含不可外接充电的混合动力汽</w:t>
            </w:r>
          </w:p>
          <w:p>
            <w:pPr>
              <w:pStyle w:val="28"/>
              <w:spacing w:before="1"/>
              <w:ind w:left="114" w:right="105" w:firstLine="1"/>
              <w:jc w:val="center"/>
              <w:rPr>
                <w:rFonts w:ascii="Times New Roman" w:hAnsi="Times New Roman" w:cs="Times New Roman" w:eastAsiaTheme="minorEastAsia"/>
                <w:lang w:eastAsia="zh-CN"/>
              </w:rPr>
            </w:pPr>
            <w:r>
              <w:rPr>
                <w:rFonts w:ascii="Times New Roman" w:hAnsi="Times New Roman" w:cs="Times New Roman" w:eastAsiaTheme="minorEastAsia"/>
                <w:spacing w:val="5"/>
                <w:lang w:eastAsia="zh-CN"/>
              </w:rPr>
              <w:t>车，不含可外接充电的混合动力汽</w:t>
            </w:r>
            <w:r>
              <w:rPr>
                <w:rFonts w:ascii="Times New Roman" w:hAnsi="Times New Roman" w:cs="Times New Roman" w:eastAsiaTheme="minorEastAsia"/>
                <w:spacing w:val="-1"/>
                <w:lang w:eastAsia="zh-CN"/>
              </w:rPr>
              <w:t>车</w:t>
            </w:r>
            <w:r>
              <w:rPr>
                <w:rFonts w:ascii="Times New Roman" w:hAnsi="Times New Roman" w:cs="Times New Roman" w:eastAsiaTheme="minorEastAsia"/>
                <w:spacing w:val="5"/>
                <w:lang w:eastAsia="zh-CN"/>
              </w:rPr>
              <w:t>），</w:t>
            </w:r>
            <w:r>
              <w:rPr>
                <w:rFonts w:ascii="Times New Roman" w:hAnsi="Times New Roman" w:cs="Times New Roman" w:eastAsiaTheme="minorEastAsia"/>
                <w:spacing w:val="-1"/>
                <w:lang w:eastAsia="zh-CN"/>
              </w:rPr>
              <w:t>46%（可外接充电的混合动力</w:t>
            </w:r>
            <w:r>
              <w:rPr>
                <w:rFonts w:ascii="Times New Roman" w:hAnsi="Times New Roman" w:cs="Times New Roman" w:eastAsiaTheme="minorEastAsia"/>
                <w:spacing w:val="-2"/>
                <w:lang w:eastAsia="zh-CN"/>
              </w:rPr>
              <w:t>汽车</w:t>
            </w:r>
            <w:r>
              <w:rPr>
                <w:rFonts w:ascii="Times New Roman" w:hAnsi="Times New Roman" w:cs="Times New Roman" w:eastAsiaTheme="minorEastAsia"/>
                <w:spacing w:val="7"/>
                <w:lang w:eastAsia="zh-CN"/>
              </w:rPr>
              <w:t>），</w:t>
            </w:r>
            <w:r>
              <w:rPr>
                <w:rFonts w:ascii="Times New Roman" w:hAnsi="Times New Roman" w:cs="Times New Roman" w:eastAsiaTheme="minorEastAsia"/>
                <w:spacing w:val="-2"/>
                <w:lang w:eastAsia="zh-CN"/>
              </w:rPr>
              <w:t>90%（纯电动汽车）</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传动系统效率</w:t>
            </w:r>
            <w:r>
              <w:rPr>
                <w:rFonts w:ascii="Times New Roman" w:hAnsi="Times New Roman" w:cs="Times New Roman"/>
                <w:szCs w:val="21"/>
                <w:vertAlign w:val="superscript"/>
              </w:rPr>
              <w:t>a</w:t>
            </w:r>
          </w:p>
        </w:tc>
        <w:tc>
          <w:tcPr>
            <w:tcW w:w="2488" w:type="dxa"/>
            <w:vAlign w:val="center"/>
          </w:tcPr>
          <w:p>
            <w:pPr>
              <w:spacing w:before="50"/>
              <w:jc w:val="center"/>
              <w:rPr>
                <w:rFonts w:ascii="Times New Roman" w:hAnsi="Times New Roman" w:cs="Times New Roman"/>
                <w:szCs w:val="21"/>
              </w:rPr>
            </w:pPr>
            <w:r>
              <w:rPr>
                <w:rFonts w:ascii="Times New Roman" w:hAnsi="Times New Roman" w:cs="Times New Roman"/>
                <w:spacing w:val="3"/>
                <w:szCs w:val="21"/>
              </w:rPr>
              <w:t>90%</w:t>
            </w:r>
          </w:p>
        </w:tc>
        <w:tc>
          <w:tcPr>
            <w:tcW w:w="2471" w:type="dxa"/>
            <w:vAlign w:val="center"/>
          </w:tcPr>
          <w:p>
            <w:pPr>
              <w:spacing w:before="50"/>
              <w:jc w:val="center"/>
              <w:rPr>
                <w:rFonts w:ascii="Times New Roman" w:hAnsi="Times New Roman" w:cs="Times New Roman"/>
                <w:szCs w:val="21"/>
              </w:rPr>
            </w:pPr>
            <w:r>
              <w:rPr>
                <w:rFonts w:ascii="Times New Roman" w:hAnsi="Times New Roman" w:cs="Times New Roman"/>
                <w:spacing w:val="2"/>
                <w:szCs w:val="21"/>
              </w:rPr>
              <w:t>90%</w:t>
            </w:r>
          </w:p>
        </w:tc>
        <w:tc>
          <w:tcPr>
            <w:tcW w:w="2473" w:type="dxa"/>
            <w:vAlign w:val="center"/>
          </w:tcPr>
          <w:p>
            <w:pPr>
              <w:spacing w:before="50"/>
              <w:jc w:val="center"/>
              <w:rPr>
                <w:rFonts w:ascii="Times New Roman" w:hAnsi="Times New Roman" w:cs="Times New Roman"/>
                <w:szCs w:val="21"/>
              </w:rPr>
            </w:pPr>
            <w:r>
              <w:rPr>
                <w:rFonts w:ascii="Times New Roman" w:hAnsi="Times New Roman" w:cs="Times New Roman"/>
                <w:spacing w:val="2"/>
                <w:szCs w:val="21"/>
              </w:rPr>
              <w:t>90%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PrEx>
        <w:trPr>
          <w:trHeight w:val="937"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能量回收系统效率</w:t>
            </w:r>
            <w:r>
              <w:rPr>
                <w:rFonts w:ascii="Times New Roman" w:hAnsi="Times New Roman" w:cs="Times New Roman"/>
                <w:szCs w:val="21"/>
                <w:vertAlign w:val="superscript"/>
              </w:rPr>
              <w:t>a</w:t>
            </w:r>
          </w:p>
        </w:tc>
        <w:tc>
          <w:tcPr>
            <w:tcW w:w="2488" w:type="dxa"/>
            <w:vAlign w:val="center"/>
          </w:tcPr>
          <w:p>
            <w:pPr>
              <w:pStyle w:val="28"/>
              <w:spacing w:before="26"/>
              <w:ind w:right="107"/>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0（燃用汽油、柴油或其他燃料</w:t>
            </w:r>
            <w:r>
              <w:rPr>
                <w:rFonts w:ascii="Times New Roman" w:hAnsi="Times New Roman" w:cs="Times New Roman" w:eastAsiaTheme="minorEastAsia"/>
                <w:spacing w:val="5"/>
                <w:lang w:eastAsia="zh-CN"/>
              </w:rPr>
              <w:t>汽车</w:t>
            </w:r>
            <w:r>
              <w:rPr>
                <w:rFonts w:hint="eastAsia" w:ascii="Times New Roman" w:hAnsi="Times New Roman" w:cs="Times New Roman" w:eastAsiaTheme="minorEastAsia"/>
                <w:spacing w:val="5"/>
                <w:lang w:eastAsia="zh-CN"/>
              </w:rPr>
              <w:t>，</w:t>
            </w:r>
            <w:r>
              <w:rPr>
                <w:rFonts w:ascii="Times New Roman" w:hAnsi="Times New Roman" w:cs="Times New Roman" w:eastAsiaTheme="minorEastAsia"/>
                <w:spacing w:val="5"/>
                <w:lang w:eastAsia="zh-CN"/>
              </w:rPr>
              <w:t>含不可外接充电的混合动</w:t>
            </w:r>
            <w:r>
              <w:rPr>
                <w:rFonts w:ascii="Times New Roman" w:hAnsi="Times New Roman" w:cs="Times New Roman" w:eastAsiaTheme="minorEastAsia"/>
                <w:spacing w:val="3"/>
                <w:lang w:eastAsia="zh-CN"/>
              </w:rPr>
              <w:t>力汽车</w:t>
            </w:r>
            <w:r>
              <w:rPr>
                <w:rFonts w:ascii="Times New Roman" w:hAnsi="Times New Roman" w:cs="Times New Roman" w:eastAsiaTheme="minorEastAsia"/>
                <w:spacing w:val="-3"/>
                <w:lang w:eastAsia="zh-CN"/>
              </w:rPr>
              <w:t>）</w:t>
            </w:r>
            <w:r>
              <w:rPr>
                <w:rFonts w:ascii="Times New Roman" w:hAnsi="Times New Roman" w:cs="Times New Roman" w:eastAsiaTheme="minorEastAsia"/>
                <w:spacing w:val="-54"/>
                <w:lang w:eastAsia="zh-CN"/>
              </w:rPr>
              <w:t xml:space="preserve"> </w:t>
            </w:r>
            <w:r>
              <w:rPr>
                <w:rFonts w:ascii="Times New Roman" w:hAnsi="Times New Roman" w:cs="Times New Roman" w:eastAsiaTheme="minorEastAsia"/>
                <w:spacing w:val="-3"/>
                <w:lang w:eastAsia="zh-CN"/>
              </w:rPr>
              <w:t>，</w:t>
            </w:r>
            <w:r>
              <w:rPr>
                <w:rFonts w:ascii="Times New Roman" w:hAnsi="Times New Roman" w:cs="Times New Roman" w:eastAsiaTheme="minorEastAsia"/>
                <w:spacing w:val="3"/>
                <w:lang w:eastAsia="zh-CN"/>
              </w:rPr>
              <w:t>50%（纯电动汽车，</w:t>
            </w:r>
            <w:r>
              <w:rPr>
                <w:rFonts w:ascii="Times New Roman" w:hAnsi="Times New Roman" w:cs="Times New Roman" w:eastAsiaTheme="minorEastAsia"/>
                <w:spacing w:val="-1"/>
                <w:lang w:eastAsia="zh-CN"/>
              </w:rPr>
              <w:t>可外接充电的混合动力汽车）</w:t>
            </w:r>
          </w:p>
        </w:tc>
        <w:tc>
          <w:tcPr>
            <w:tcW w:w="2471" w:type="dxa"/>
            <w:vAlign w:val="center"/>
          </w:tcPr>
          <w:p>
            <w:pPr>
              <w:pStyle w:val="28"/>
              <w:spacing w:before="26"/>
              <w:ind w:right="106"/>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0（燃用汽油、柴油或其他燃料</w:t>
            </w:r>
            <w:r>
              <w:rPr>
                <w:rFonts w:ascii="Times New Roman" w:hAnsi="Times New Roman" w:cs="Times New Roman" w:eastAsiaTheme="minorEastAsia"/>
                <w:spacing w:val="5"/>
                <w:lang w:eastAsia="zh-CN"/>
              </w:rPr>
              <w:t>汽车</w:t>
            </w:r>
            <w:r>
              <w:rPr>
                <w:rFonts w:hint="eastAsia" w:ascii="Times New Roman" w:hAnsi="Times New Roman" w:cs="Times New Roman" w:eastAsiaTheme="minorEastAsia"/>
                <w:spacing w:val="5"/>
                <w:lang w:eastAsia="zh-CN"/>
              </w:rPr>
              <w:t>，</w:t>
            </w:r>
            <w:r>
              <w:rPr>
                <w:rFonts w:ascii="Times New Roman" w:hAnsi="Times New Roman" w:cs="Times New Roman" w:eastAsiaTheme="minorEastAsia"/>
                <w:spacing w:val="5"/>
                <w:lang w:eastAsia="zh-CN"/>
              </w:rPr>
              <w:t>含不可外接充电的混合动</w:t>
            </w:r>
            <w:r>
              <w:rPr>
                <w:rFonts w:ascii="Times New Roman" w:hAnsi="Times New Roman" w:cs="Times New Roman" w:eastAsiaTheme="minorEastAsia"/>
                <w:spacing w:val="2"/>
                <w:lang w:eastAsia="zh-CN"/>
              </w:rPr>
              <w:t>力汽车</w:t>
            </w:r>
            <w:r>
              <w:rPr>
                <w:rFonts w:ascii="Times New Roman" w:hAnsi="Times New Roman" w:cs="Times New Roman" w:eastAsiaTheme="minorEastAsia"/>
                <w:spacing w:val="3"/>
                <w:lang w:eastAsia="zh-CN"/>
              </w:rPr>
              <w:t>）</w:t>
            </w:r>
            <w:r>
              <w:rPr>
                <w:rFonts w:ascii="Times New Roman" w:hAnsi="Times New Roman" w:cs="Times New Roman" w:eastAsiaTheme="minorEastAsia"/>
                <w:spacing w:val="-53"/>
                <w:lang w:eastAsia="zh-CN"/>
              </w:rPr>
              <w:t xml:space="preserve"> </w:t>
            </w:r>
            <w:r>
              <w:rPr>
                <w:rFonts w:ascii="Times New Roman" w:hAnsi="Times New Roman" w:cs="Times New Roman" w:eastAsiaTheme="minorEastAsia"/>
                <w:spacing w:val="3"/>
                <w:lang w:eastAsia="zh-CN"/>
              </w:rPr>
              <w:t>，</w:t>
            </w:r>
            <w:r>
              <w:rPr>
                <w:rFonts w:ascii="Times New Roman" w:hAnsi="Times New Roman" w:cs="Times New Roman" w:eastAsiaTheme="minorEastAsia"/>
                <w:spacing w:val="2"/>
                <w:lang w:eastAsia="zh-CN"/>
              </w:rPr>
              <w:t>50%（纯电动汽车，</w:t>
            </w:r>
            <w:r>
              <w:rPr>
                <w:rFonts w:ascii="Times New Roman" w:hAnsi="Times New Roman" w:cs="Times New Roman" w:eastAsiaTheme="minorEastAsia"/>
                <w:spacing w:val="-1"/>
                <w:lang w:eastAsia="zh-CN"/>
              </w:rPr>
              <w:t>可外接充电的混合动力汽车）</w:t>
            </w:r>
          </w:p>
        </w:tc>
        <w:tc>
          <w:tcPr>
            <w:tcW w:w="2473" w:type="dxa"/>
            <w:vAlign w:val="center"/>
          </w:tcPr>
          <w:p>
            <w:pPr>
              <w:pStyle w:val="28"/>
              <w:spacing w:before="26"/>
              <w:ind w:right="66"/>
              <w:jc w:val="center"/>
              <w:rPr>
                <w:rFonts w:ascii="Times New Roman" w:hAnsi="Times New Roman" w:cs="Times New Roman" w:eastAsiaTheme="minorEastAsia"/>
                <w:lang w:eastAsia="zh-CN"/>
              </w:rPr>
            </w:pPr>
            <w:r>
              <w:rPr>
                <w:rFonts w:ascii="Times New Roman" w:hAnsi="Times New Roman" w:cs="Times New Roman" w:eastAsiaTheme="minorEastAsia"/>
                <w:spacing w:val="-6"/>
                <w:lang w:eastAsia="zh-CN"/>
              </w:rPr>
              <w:t>0（燃用汽油、柴油或其他燃料汽车</w:t>
            </w:r>
            <w:r>
              <w:rPr>
                <w:rFonts w:hint="eastAsia" w:ascii="Times New Roman" w:hAnsi="Times New Roman" w:cs="Times New Roman" w:eastAsiaTheme="minorEastAsia"/>
                <w:spacing w:val="-6"/>
                <w:lang w:eastAsia="zh-CN"/>
              </w:rPr>
              <w:t>，</w:t>
            </w:r>
            <w:r>
              <w:rPr>
                <w:rFonts w:ascii="Times New Roman" w:hAnsi="Times New Roman" w:cs="Times New Roman" w:eastAsiaTheme="minorEastAsia"/>
                <w:spacing w:val="-1"/>
                <w:lang w:eastAsia="zh-CN"/>
              </w:rPr>
              <w:t>含不可外接充电的混合动力汽车</w:t>
            </w:r>
            <w:r>
              <w:rPr>
                <w:rFonts w:ascii="Times New Roman" w:hAnsi="Times New Roman" w:cs="Times New Roman" w:eastAsiaTheme="minorEastAsia"/>
                <w:spacing w:val="-20"/>
                <w:lang w:eastAsia="zh-CN"/>
              </w:rPr>
              <w:t>），</w:t>
            </w:r>
            <w:r>
              <w:rPr>
                <w:rFonts w:ascii="Times New Roman" w:hAnsi="Times New Roman" w:cs="Times New Roman" w:eastAsiaTheme="minorEastAsia"/>
                <w:lang w:eastAsia="zh-CN"/>
              </w:rPr>
              <w:t xml:space="preserve"> </w:t>
            </w:r>
            <w:r>
              <w:rPr>
                <w:rFonts w:ascii="Times New Roman" w:hAnsi="Times New Roman" w:cs="Times New Roman" w:eastAsiaTheme="minorEastAsia"/>
                <w:spacing w:val="-1"/>
                <w:lang w:eastAsia="zh-CN"/>
              </w:rPr>
              <w:t>50%（纯电动汽车，可外接充电的混</w:t>
            </w:r>
            <w:r>
              <w:rPr>
                <w:rFonts w:ascii="Times New Roman" w:hAnsi="Times New Roman" w:cs="Times New Roman" w:eastAsiaTheme="minorEastAsia"/>
                <w:spacing w:val="-2"/>
                <w:lang w:eastAsia="zh-CN"/>
              </w:rPr>
              <w:t>合动力汽车）</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1301"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参考负荷比例</w:t>
            </w:r>
            <w:r>
              <w:rPr>
                <w:rFonts w:ascii="Times New Roman" w:hAnsi="Times New Roman" w:cs="Times New Roman"/>
                <w:szCs w:val="21"/>
                <w:vertAlign w:val="superscript"/>
              </w:rPr>
              <w:t>a</w:t>
            </w:r>
            <w:r>
              <w:rPr>
                <w:rFonts w:ascii="Times New Roman" w:hAnsi="Times New Roman" w:cs="Times New Roman"/>
                <w:szCs w:val="21"/>
              </w:rPr>
              <w:t>（%）</w:t>
            </w:r>
          </w:p>
        </w:tc>
        <w:tc>
          <w:tcPr>
            <w:tcW w:w="2488" w:type="dxa"/>
            <w:vAlign w:val="center"/>
          </w:tcPr>
          <w:p>
            <w:pPr>
              <w:pStyle w:val="28"/>
              <w:spacing w:before="33"/>
              <w:ind w:right="107"/>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60%（燃用汽油、柴油或其他</w:t>
            </w:r>
            <w:r>
              <w:rPr>
                <w:rFonts w:ascii="Times New Roman" w:hAnsi="Times New Roman" w:cs="Times New Roman" w:eastAsiaTheme="minorEastAsia"/>
                <w:spacing w:val="2"/>
                <w:lang w:eastAsia="zh-CN"/>
              </w:rPr>
              <w:t>燃料汽车，含不可外接充电的</w:t>
            </w:r>
            <w:r>
              <w:rPr>
                <w:rFonts w:ascii="Times New Roman" w:hAnsi="Times New Roman" w:cs="Times New Roman" w:eastAsiaTheme="minorEastAsia"/>
                <w:spacing w:val="7"/>
                <w:lang w:eastAsia="zh-CN"/>
              </w:rPr>
              <w:t>混合动力汽车）</w:t>
            </w:r>
          </w:p>
          <w:p>
            <w:pPr>
              <w:pStyle w:val="28"/>
              <w:spacing w:before="2"/>
              <w:ind w:right="107"/>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70%（纯电动汽车，可外接充电的混动车辆）</w:t>
            </w:r>
          </w:p>
        </w:tc>
        <w:tc>
          <w:tcPr>
            <w:tcW w:w="2471" w:type="dxa"/>
            <w:vAlign w:val="center"/>
          </w:tcPr>
          <w:p>
            <w:pPr>
              <w:pStyle w:val="28"/>
              <w:spacing w:before="33"/>
              <w:ind w:right="106"/>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80%（燃用汽油、柴油或其他</w:t>
            </w:r>
            <w:r>
              <w:rPr>
                <w:rFonts w:ascii="Times New Roman" w:hAnsi="Times New Roman" w:cs="Times New Roman" w:eastAsiaTheme="minorEastAsia"/>
                <w:spacing w:val="2"/>
                <w:lang w:eastAsia="zh-CN"/>
              </w:rPr>
              <w:t>燃料汽车，含不可外接充电的</w:t>
            </w:r>
            <w:r>
              <w:rPr>
                <w:rFonts w:ascii="Times New Roman" w:hAnsi="Times New Roman" w:cs="Times New Roman" w:eastAsiaTheme="minorEastAsia"/>
                <w:spacing w:val="7"/>
                <w:lang w:eastAsia="zh-CN"/>
              </w:rPr>
              <w:t>混合动力汽车）</w:t>
            </w:r>
          </w:p>
          <w:p>
            <w:pPr>
              <w:pStyle w:val="28"/>
              <w:spacing w:before="2"/>
              <w:ind w:right="106"/>
              <w:jc w:val="center"/>
              <w:rPr>
                <w:rFonts w:ascii="Times New Roman" w:hAnsi="Times New Roman" w:cs="Times New Roman" w:eastAsiaTheme="minorEastAsia"/>
                <w:lang w:eastAsia="zh-CN"/>
              </w:rPr>
            </w:pPr>
            <w:r>
              <w:rPr>
                <w:rFonts w:ascii="Times New Roman" w:hAnsi="Times New Roman" w:cs="Times New Roman" w:eastAsiaTheme="minorEastAsia"/>
                <w:spacing w:val="4"/>
                <w:lang w:eastAsia="zh-CN"/>
              </w:rPr>
              <w:t>90%（纯电动汽车，可外接充电的混动车辆）</w:t>
            </w:r>
          </w:p>
        </w:tc>
        <w:tc>
          <w:tcPr>
            <w:tcW w:w="2473" w:type="dxa"/>
            <w:vAlign w:val="center"/>
          </w:tcPr>
          <w:p>
            <w:pPr>
              <w:pStyle w:val="28"/>
              <w:spacing w:before="33"/>
              <w:ind w:right="108"/>
              <w:jc w:val="center"/>
              <w:rPr>
                <w:rFonts w:ascii="Times New Roman" w:hAnsi="Times New Roman" w:cs="Times New Roman" w:eastAsiaTheme="minorEastAsia"/>
                <w:lang w:eastAsia="zh-CN"/>
              </w:rPr>
            </w:pPr>
            <w:r>
              <w:rPr>
                <w:rFonts w:ascii="Times New Roman" w:hAnsi="Times New Roman" w:cs="Times New Roman" w:eastAsiaTheme="minorEastAsia"/>
                <w:spacing w:val="10"/>
                <w:lang w:eastAsia="zh-CN"/>
              </w:rPr>
              <w:t>90%（燃用汽油、柴油或其他燃</w:t>
            </w:r>
            <w:r>
              <w:rPr>
                <w:rFonts w:ascii="Times New Roman" w:hAnsi="Times New Roman" w:cs="Times New Roman" w:eastAsiaTheme="minorEastAsia"/>
                <w:spacing w:val="8"/>
                <w:lang w:eastAsia="zh-CN"/>
              </w:rPr>
              <w:t>料汽车，含不可外接充电的混合</w:t>
            </w:r>
            <w:r>
              <w:rPr>
                <w:rFonts w:ascii="Times New Roman" w:hAnsi="Times New Roman" w:cs="Times New Roman" w:eastAsiaTheme="minorEastAsia"/>
                <w:spacing w:val="6"/>
                <w:lang w:eastAsia="zh-CN"/>
              </w:rPr>
              <w:t>动力汽车）</w:t>
            </w:r>
            <w:r>
              <w:rPr>
                <w:rFonts w:ascii="Times New Roman" w:hAnsi="Times New Roman" w:cs="Times New Roman" w:eastAsiaTheme="minorEastAsia"/>
                <w:spacing w:val="10"/>
                <w:lang w:eastAsia="zh-CN"/>
              </w:rPr>
              <w:t>95%（纯电动汽车，可外接充电</w:t>
            </w:r>
            <w:r>
              <w:rPr>
                <w:rFonts w:ascii="Times New Roman" w:hAnsi="Times New Roman" w:cs="Times New Roman" w:eastAsiaTheme="minorEastAsia"/>
                <w:spacing w:val="4"/>
                <w:lang w:eastAsia="zh-CN"/>
              </w:rPr>
              <w:t>的混动车辆）</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251" w:hRule="atLeast"/>
        </w:trPr>
        <w:tc>
          <w:tcPr>
            <w:tcW w:w="2142" w:type="dxa"/>
            <w:vAlign w:val="center"/>
          </w:tcPr>
          <w:p>
            <w:pPr>
              <w:spacing w:before="52"/>
              <w:jc w:val="center"/>
              <w:rPr>
                <w:rFonts w:ascii="Times New Roman" w:hAnsi="Times New Roman" w:cs="Times New Roman"/>
                <w:szCs w:val="21"/>
              </w:rPr>
            </w:pPr>
            <w:r>
              <w:rPr>
                <w:rFonts w:ascii="Times New Roman" w:hAnsi="Times New Roman" w:cs="Times New Roman"/>
                <w:szCs w:val="21"/>
              </w:rPr>
              <w:t>车辆驾驶工况相对正加速度（m/s</w:t>
            </w:r>
            <w:r>
              <w:rPr>
                <w:rFonts w:ascii="Times New Roman" w:hAnsi="Times New Roman" w:cs="Times New Roman"/>
                <w:szCs w:val="21"/>
                <w:vertAlign w:val="superscript"/>
              </w:rPr>
              <w:t>2</w:t>
            </w:r>
            <w:r>
              <w:rPr>
                <w:rFonts w:ascii="Times New Roman" w:hAnsi="Times New Roman" w:cs="Times New Roman"/>
                <w:szCs w:val="21"/>
              </w:rPr>
              <w:t>）</w:t>
            </w:r>
          </w:p>
        </w:tc>
        <w:tc>
          <w:tcPr>
            <w:tcW w:w="2488" w:type="dxa"/>
            <w:vAlign w:val="center"/>
          </w:tcPr>
          <w:p>
            <w:pPr>
              <w:spacing w:before="63"/>
              <w:jc w:val="center"/>
              <w:rPr>
                <w:rFonts w:ascii="Times New Roman" w:hAnsi="Times New Roman" w:cs="Times New Roman"/>
                <w:szCs w:val="21"/>
              </w:rPr>
            </w:pPr>
            <w:r>
              <w:rPr>
                <w:rFonts w:ascii="Times New Roman" w:hAnsi="Times New Roman" w:cs="Times New Roman"/>
                <w:spacing w:val="-2"/>
                <w:szCs w:val="21"/>
              </w:rPr>
              <w:t>0.17</w:t>
            </w:r>
            <w:r>
              <w:rPr>
                <w:rFonts w:ascii="Times New Roman" w:hAnsi="Times New Roman" w:cs="Times New Roman"/>
                <w:spacing w:val="-2"/>
                <w:szCs w:val="21"/>
                <w:vertAlign w:val="superscript"/>
              </w:rPr>
              <w:t>b</w:t>
            </w:r>
          </w:p>
        </w:tc>
        <w:tc>
          <w:tcPr>
            <w:tcW w:w="2471" w:type="dxa"/>
            <w:vAlign w:val="center"/>
          </w:tcPr>
          <w:p>
            <w:pPr>
              <w:spacing w:before="63"/>
              <w:jc w:val="center"/>
              <w:rPr>
                <w:rFonts w:ascii="Times New Roman" w:hAnsi="Times New Roman" w:cs="Times New Roman"/>
                <w:szCs w:val="21"/>
              </w:rPr>
            </w:pPr>
            <w:r>
              <w:rPr>
                <w:rFonts w:ascii="Times New Roman" w:hAnsi="Times New Roman" w:cs="Times New Roman"/>
                <w:spacing w:val="-2"/>
                <w:szCs w:val="21"/>
              </w:rPr>
              <w:t>0.11</w:t>
            </w:r>
            <w:r>
              <w:rPr>
                <w:rFonts w:ascii="Times New Roman" w:hAnsi="Times New Roman" w:cs="Times New Roman"/>
                <w:spacing w:val="-2"/>
                <w:szCs w:val="21"/>
                <w:vertAlign w:val="superscript"/>
              </w:rPr>
              <w:t>c</w:t>
            </w:r>
          </w:p>
        </w:tc>
        <w:tc>
          <w:tcPr>
            <w:tcW w:w="2473" w:type="dxa"/>
            <w:vAlign w:val="center"/>
          </w:tcPr>
          <w:p>
            <w:pPr>
              <w:spacing w:before="41"/>
              <w:jc w:val="center"/>
              <w:rPr>
                <w:rFonts w:ascii="Times New Roman" w:hAnsi="Times New Roman" w:cs="Times New Roman"/>
                <w:szCs w:val="21"/>
              </w:rPr>
            </w:pPr>
            <w:r>
              <w:rPr>
                <w:rFonts w:ascii="Times New Roman" w:hAnsi="Times New Roman" w:cs="Times New Roman"/>
                <w:spacing w:val="-3"/>
                <w:szCs w:val="21"/>
              </w:rPr>
              <w:t>0.11</w:t>
            </w:r>
            <w:r>
              <w:rPr>
                <w:rFonts w:ascii="Times New Roman" w:hAnsi="Times New Roman" w:cs="Times New Roman"/>
                <w:spacing w:val="-3"/>
                <w:szCs w:val="21"/>
                <w:vertAlign w:val="superscript"/>
              </w:rPr>
              <w:t>d</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142" w:type="dxa"/>
            <w:vAlign w:val="center"/>
          </w:tcPr>
          <w:p>
            <w:pPr>
              <w:pStyle w:val="28"/>
              <w:spacing w:before="69"/>
              <w:jc w:val="center"/>
              <w:rPr>
                <w:rFonts w:ascii="Times New Roman" w:hAnsi="Times New Roman" w:cs="Times New Roman" w:eastAsiaTheme="minorEastAsia"/>
                <w:lang w:eastAsia="zh-CN"/>
              </w:rPr>
            </w:pPr>
            <w:r>
              <w:rPr>
                <w:rFonts w:ascii="Times New Roman" w:hAnsi="Times New Roman" w:cs="Times New Roman" w:eastAsiaTheme="minorEastAsia"/>
                <w:lang w:eastAsia="zh-CN"/>
              </w:rPr>
              <w:t>废轮胎各种回收处置方式中填埋、焚烧的比例（%）</w:t>
            </w:r>
          </w:p>
        </w:tc>
        <w:tc>
          <w:tcPr>
            <w:tcW w:w="7432" w:type="dxa"/>
            <w:gridSpan w:val="3"/>
            <w:vAlign w:val="center"/>
          </w:tcPr>
          <w:p>
            <w:pPr>
              <w:pStyle w:val="28"/>
              <w:spacing w:before="41"/>
              <w:jc w:val="center"/>
              <w:rPr>
                <w:rFonts w:ascii="Times New Roman" w:hAnsi="Times New Roman" w:cs="Times New Roman" w:eastAsiaTheme="minorEastAsia"/>
                <w:lang w:eastAsia="zh-CN"/>
              </w:rPr>
            </w:pPr>
            <w:r>
              <w:rPr>
                <w:rFonts w:ascii="Times New Roman" w:hAnsi="Times New Roman" w:cs="Times New Roman" w:eastAsiaTheme="minorEastAsia"/>
                <w:spacing w:val="7"/>
                <w:lang w:eastAsia="zh-CN"/>
              </w:rPr>
              <w:t>12</w:t>
            </w:r>
            <w:r>
              <w:rPr>
                <w:rFonts w:ascii="Times New Roman" w:hAnsi="Times New Roman" w:cs="Times New Roman" w:eastAsiaTheme="minorEastAsia"/>
                <w:spacing w:val="7"/>
                <w:vertAlign w:val="superscript"/>
                <w:lang w:eastAsia="zh-CN"/>
              </w:rPr>
              <w:t>e</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PrEx>
        <w:trPr>
          <w:trHeight w:val="277" w:hRule="atLeast"/>
        </w:trPr>
        <w:tc>
          <w:tcPr>
            <w:tcW w:w="2142" w:type="dxa"/>
            <w:vAlign w:val="center"/>
          </w:tcPr>
          <w:p>
            <w:pPr>
              <w:pStyle w:val="28"/>
              <w:spacing w:before="69"/>
              <w:jc w:val="center"/>
              <w:rPr>
                <w:rFonts w:ascii="Times New Roman" w:hAnsi="Times New Roman" w:cs="Times New Roman" w:eastAsiaTheme="minorEastAsia"/>
                <w:lang w:eastAsia="zh-CN"/>
              </w:rPr>
            </w:pPr>
            <w:r>
              <w:rPr>
                <w:rFonts w:ascii="Times New Roman" w:hAnsi="Times New Roman" w:cs="Times New Roman" w:eastAsiaTheme="minorEastAsia"/>
                <w:lang w:eastAsia="zh-CN"/>
              </w:rPr>
              <w:t>EF处置—轮胎填埋、焚烧的碳排放因子（kgCO</w:t>
            </w:r>
            <w:r>
              <w:rPr>
                <w:rFonts w:ascii="Times New Roman" w:hAnsi="Times New Roman" w:cs="Times New Roman" w:eastAsiaTheme="minorEastAsia"/>
                <w:vertAlign w:val="subscript"/>
                <w:lang w:eastAsia="zh-CN"/>
              </w:rPr>
              <w:t>2</w:t>
            </w:r>
            <w:r>
              <w:rPr>
                <w:rFonts w:ascii="Times New Roman" w:hAnsi="Times New Roman" w:cs="Times New Roman" w:eastAsiaTheme="minorEastAsia"/>
                <w:lang w:eastAsia="zh-CN"/>
              </w:rPr>
              <w:t>e/kg）</w:t>
            </w:r>
          </w:p>
        </w:tc>
        <w:tc>
          <w:tcPr>
            <w:tcW w:w="7432" w:type="dxa"/>
            <w:gridSpan w:val="3"/>
            <w:vAlign w:val="center"/>
          </w:tcPr>
          <w:p>
            <w:pPr>
              <w:pStyle w:val="28"/>
              <w:spacing w:before="41"/>
              <w:ind w:left="113"/>
              <w:jc w:val="center"/>
              <w:rPr>
                <w:rFonts w:ascii="Times New Roman" w:hAnsi="Times New Roman" w:cs="Times New Roman" w:eastAsiaTheme="minorEastAsia"/>
                <w:spacing w:val="7"/>
                <w:lang w:eastAsia="zh-CN"/>
              </w:rPr>
            </w:pPr>
            <w:r>
              <w:rPr>
                <w:rFonts w:ascii="Times New Roman" w:hAnsi="Times New Roman" w:cs="Times New Roman" w:eastAsiaTheme="minorEastAsia"/>
                <w:spacing w:val="-1"/>
              </w:rPr>
              <w:t>0.353</w:t>
            </w:r>
            <w:r>
              <w:rPr>
                <w:rFonts w:ascii="Times New Roman" w:hAnsi="Times New Roman" w:cs="Times New Roman" w:eastAsiaTheme="minorEastAsia"/>
                <w:spacing w:val="-1"/>
                <w:vertAlign w:val="superscript"/>
              </w:rPr>
              <w:t>d</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9574" w:type="dxa"/>
            <w:gridSpan w:val="4"/>
            <w:vAlign w:val="center"/>
          </w:tcPr>
          <w:p>
            <w:pPr>
              <w:pStyle w:val="28"/>
              <w:spacing w:before="4"/>
              <w:ind w:left="109"/>
              <w:jc w:val="left"/>
              <w:rPr>
                <w:rFonts w:ascii="Times New Roman" w:hAnsi="Times New Roman" w:eastAsia="仿宋" w:cs="Times New Roman"/>
                <w:sz w:val="18"/>
                <w:szCs w:val="18"/>
                <w:lang w:eastAsia="zh-CN"/>
              </w:rPr>
            </w:pPr>
            <w:r>
              <w:rPr>
                <w:rFonts w:ascii="Times New Roman" w:hAnsi="Times New Roman" w:eastAsia="仿宋" w:cs="Times New Roman"/>
                <w:sz w:val="18"/>
                <w:szCs w:val="18"/>
                <w:vertAlign w:val="superscript"/>
                <w:lang w:eastAsia="zh-CN"/>
              </w:rPr>
              <w:t xml:space="preserve">a </w:t>
            </w:r>
            <w:r>
              <w:rPr>
                <w:rFonts w:ascii="Times New Roman" w:hAnsi="Times New Roman" w:eastAsia="仿宋" w:cs="Times New Roman"/>
                <w:sz w:val="18"/>
                <w:szCs w:val="18"/>
                <w:lang w:eastAsia="zh-CN"/>
              </w:rPr>
              <w:t>数据来源为T/CECA-G 0332—2024《温室气体 产品碳足迹量化方法与要求 汽车用轮胎》</w:t>
            </w:r>
          </w:p>
          <w:p>
            <w:pPr>
              <w:pStyle w:val="28"/>
              <w:spacing w:before="4"/>
              <w:ind w:left="109"/>
              <w:jc w:val="left"/>
              <w:rPr>
                <w:rFonts w:ascii="Times New Roman" w:hAnsi="Times New Roman" w:eastAsia="仿宋" w:cs="Times New Roman"/>
                <w:sz w:val="18"/>
                <w:szCs w:val="18"/>
                <w:lang w:eastAsia="zh-CN"/>
              </w:rPr>
            </w:pPr>
            <w:r>
              <w:rPr>
                <w:rFonts w:ascii="Times New Roman" w:hAnsi="Times New Roman" w:eastAsia="仿宋" w:cs="Times New Roman"/>
                <w:sz w:val="18"/>
                <w:szCs w:val="18"/>
                <w:vertAlign w:val="superscript"/>
                <w:lang w:eastAsia="zh-CN"/>
              </w:rPr>
              <w:t>b</w:t>
            </w:r>
            <w:r>
              <w:rPr>
                <w:rFonts w:ascii="Times New Roman" w:hAnsi="Times New Roman" w:eastAsia="仿宋" w:cs="Times New Roman"/>
                <w:sz w:val="18"/>
                <w:szCs w:val="18"/>
                <w:lang w:eastAsia="zh-CN"/>
              </w:rPr>
              <w:t xml:space="preserve">数据取值来源为GB/T 38146.1 《中国汽车行驶工况 第1部分： </w:t>
            </w:r>
            <w:r>
              <w:rPr>
                <w:rFonts w:ascii="Times New Roman" w:hAnsi="Times New Roman" w:eastAsia="仿宋" w:cs="Times New Roman"/>
                <w:spacing w:val="-1"/>
                <w:sz w:val="18"/>
                <w:szCs w:val="18"/>
                <w:lang w:eastAsia="zh-CN"/>
              </w:rPr>
              <w:t>轻型汽车》</w:t>
            </w:r>
          </w:p>
          <w:p>
            <w:pPr>
              <w:pStyle w:val="28"/>
              <w:spacing w:before="3"/>
              <w:ind w:left="113"/>
              <w:jc w:val="left"/>
              <w:rPr>
                <w:rFonts w:ascii="Times New Roman" w:hAnsi="Times New Roman" w:eastAsia="仿宋" w:cs="Times New Roman"/>
                <w:sz w:val="18"/>
                <w:szCs w:val="18"/>
                <w:lang w:eastAsia="zh-CN"/>
              </w:rPr>
            </w:pPr>
            <w:r>
              <w:rPr>
                <w:rFonts w:ascii="Times New Roman" w:hAnsi="Times New Roman" w:eastAsia="仿宋" w:cs="Times New Roman"/>
                <w:sz w:val="18"/>
                <w:szCs w:val="18"/>
                <w:vertAlign w:val="superscript"/>
                <w:lang w:eastAsia="zh-CN"/>
              </w:rPr>
              <w:t>c</w:t>
            </w:r>
            <w:r>
              <w:rPr>
                <w:rFonts w:ascii="Times New Roman" w:hAnsi="Times New Roman" w:eastAsia="仿宋" w:cs="Times New Roman"/>
                <w:sz w:val="18"/>
                <w:szCs w:val="18"/>
                <w:lang w:eastAsia="zh-CN"/>
              </w:rPr>
              <w:t>数据取值来源为GB/T 38146.2 《中国汽车行驶工况 第2部分</w:t>
            </w:r>
            <w:r>
              <w:rPr>
                <w:rFonts w:ascii="Times New Roman" w:hAnsi="Times New Roman" w:eastAsia="仿宋" w:cs="Times New Roman"/>
                <w:spacing w:val="-1"/>
                <w:sz w:val="18"/>
                <w:szCs w:val="18"/>
                <w:lang w:eastAsia="zh-CN"/>
              </w:rPr>
              <w:t>： 重型商用车辆》</w:t>
            </w:r>
          </w:p>
          <w:p>
            <w:pPr>
              <w:pStyle w:val="28"/>
              <w:spacing w:before="6"/>
              <w:ind w:left="113" w:right="108"/>
              <w:jc w:val="left"/>
              <w:rPr>
                <w:rFonts w:ascii="Times New Roman" w:hAnsi="Times New Roman" w:eastAsia="仿宋" w:cs="Times New Roman"/>
                <w:sz w:val="18"/>
                <w:szCs w:val="18"/>
              </w:rPr>
            </w:pPr>
            <w:r>
              <w:rPr>
                <w:rFonts w:ascii="Times New Roman" w:hAnsi="Times New Roman" w:eastAsia="仿宋" w:cs="Times New Roman"/>
                <w:spacing w:val="1"/>
                <w:sz w:val="18"/>
                <w:szCs w:val="18"/>
                <w:vertAlign w:val="superscript"/>
              </w:rPr>
              <w:t>d</w:t>
            </w:r>
            <w:r>
              <w:rPr>
                <w:rFonts w:ascii="Times New Roman" w:hAnsi="Times New Roman" w:eastAsia="仿宋" w:cs="Times New Roman"/>
                <w:spacing w:val="1"/>
                <w:sz w:val="18"/>
                <w:szCs w:val="18"/>
              </w:rPr>
              <w:t>数据取值来源为世界可持续发展工商理事会</w:t>
            </w:r>
            <w:r>
              <w:rPr>
                <w:rFonts w:ascii="Times New Roman" w:hAnsi="Times New Roman" w:eastAsia="仿宋" w:cs="Times New Roman"/>
                <w:sz w:val="18"/>
                <w:szCs w:val="18"/>
              </w:rPr>
              <w:t>WBSCD</w:t>
            </w:r>
            <w:r>
              <w:rPr>
                <w:rFonts w:ascii="Times New Roman" w:hAnsi="Times New Roman" w:eastAsia="仿宋" w:cs="Times New Roman"/>
                <w:spacing w:val="1"/>
                <w:sz w:val="18"/>
                <w:szCs w:val="18"/>
              </w:rPr>
              <w:t>报告《</w:t>
            </w:r>
            <w:r>
              <w:rPr>
                <w:rFonts w:ascii="Times New Roman" w:hAnsi="Times New Roman" w:eastAsia="仿宋" w:cs="Times New Roman"/>
                <w:sz w:val="18"/>
                <w:szCs w:val="18"/>
              </w:rPr>
              <w:t>Global</w:t>
            </w:r>
            <w:r>
              <w:rPr>
                <w:rFonts w:ascii="Times New Roman" w:hAnsi="Times New Roman" w:eastAsia="仿宋" w:cs="Times New Roman"/>
                <w:spacing w:val="1"/>
                <w:sz w:val="18"/>
                <w:szCs w:val="18"/>
              </w:rPr>
              <w:t xml:space="preserve"> </w:t>
            </w:r>
            <w:r>
              <w:rPr>
                <w:rFonts w:ascii="Times New Roman" w:hAnsi="Times New Roman" w:eastAsia="仿宋" w:cs="Times New Roman"/>
                <w:sz w:val="18"/>
                <w:szCs w:val="18"/>
              </w:rPr>
              <w:t>ELT</w:t>
            </w:r>
            <w:r>
              <w:rPr>
                <w:rFonts w:ascii="Times New Roman" w:hAnsi="Times New Roman" w:eastAsia="仿宋" w:cs="Times New Roman"/>
                <w:spacing w:val="1"/>
                <w:sz w:val="18"/>
                <w:szCs w:val="18"/>
              </w:rPr>
              <w:t xml:space="preserve"> </w:t>
            </w:r>
            <w:r>
              <w:rPr>
                <w:rFonts w:ascii="Times New Roman" w:hAnsi="Times New Roman" w:eastAsia="仿宋" w:cs="Times New Roman"/>
                <w:sz w:val="18"/>
                <w:szCs w:val="18"/>
              </w:rPr>
              <w:t>Management</w:t>
            </w:r>
            <w:r>
              <w:rPr>
                <w:rFonts w:ascii="Times New Roman" w:hAnsi="Times New Roman" w:eastAsia="仿宋" w:cs="Times New Roman"/>
                <w:spacing w:val="1"/>
                <w:sz w:val="18"/>
                <w:szCs w:val="18"/>
              </w:rPr>
              <w:t xml:space="preserve"> –  </w:t>
            </w:r>
            <w:r>
              <w:rPr>
                <w:rFonts w:ascii="Times New Roman" w:hAnsi="Times New Roman" w:eastAsia="仿宋" w:cs="Times New Roman"/>
                <w:sz w:val="18"/>
                <w:szCs w:val="18"/>
              </w:rPr>
              <w:t>A</w:t>
            </w:r>
            <w:r>
              <w:rPr>
                <w:rFonts w:ascii="Times New Roman" w:hAnsi="Times New Roman" w:eastAsia="仿宋" w:cs="Times New Roman"/>
                <w:spacing w:val="1"/>
                <w:sz w:val="18"/>
                <w:szCs w:val="18"/>
              </w:rPr>
              <w:t xml:space="preserve"> </w:t>
            </w:r>
            <w:r>
              <w:rPr>
                <w:rFonts w:ascii="Times New Roman" w:hAnsi="Times New Roman" w:eastAsia="仿宋" w:cs="Times New Roman"/>
                <w:sz w:val="18"/>
                <w:szCs w:val="18"/>
              </w:rPr>
              <w:t>global</w:t>
            </w:r>
            <w:r>
              <w:rPr>
                <w:rFonts w:ascii="Times New Roman" w:hAnsi="Times New Roman" w:eastAsia="仿宋" w:cs="Times New Roman"/>
                <w:spacing w:val="1"/>
                <w:sz w:val="18"/>
                <w:szCs w:val="18"/>
              </w:rPr>
              <w:t xml:space="preserve"> </w:t>
            </w:r>
            <w:r>
              <w:rPr>
                <w:rFonts w:ascii="Times New Roman" w:hAnsi="Times New Roman" w:eastAsia="仿宋" w:cs="Times New Roman"/>
                <w:sz w:val="18"/>
                <w:szCs w:val="18"/>
              </w:rPr>
              <w:t>state</w:t>
            </w:r>
            <w:r>
              <w:rPr>
                <w:rFonts w:ascii="Times New Roman" w:hAnsi="Times New Roman" w:eastAsia="仿宋" w:cs="Times New Roman"/>
                <w:spacing w:val="1"/>
                <w:sz w:val="18"/>
                <w:szCs w:val="18"/>
              </w:rPr>
              <w:t xml:space="preserve"> </w:t>
            </w:r>
            <w:r>
              <w:rPr>
                <w:rFonts w:ascii="Times New Roman" w:hAnsi="Times New Roman" w:eastAsia="仿宋" w:cs="Times New Roman"/>
                <w:sz w:val="18"/>
                <w:szCs w:val="18"/>
              </w:rPr>
              <w:t>of knowledge on regulation</w:t>
            </w:r>
            <w:r>
              <w:rPr>
                <w:rFonts w:hint="eastAsia" w:ascii="Times New Roman" w:hAnsi="Times New Roman" w:eastAsia="仿宋" w:cs="Times New Roman"/>
                <w:sz w:val="18"/>
                <w:szCs w:val="18"/>
                <w:lang w:eastAsia="zh-CN"/>
              </w:rPr>
              <w:t>，</w:t>
            </w:r>
            <w:r>
              <w:rPr>
                <w:rFonts w:ascii="Times New Roman" w:hAnsi="Times New Roman" w:eastAsia="仿宋" w:cs="Times New Roman"/>
                <w:sz w:val="18"/>
                <w:szCs w:val="18"/>
              </w:rPr>
              <w:t xml:space="preserve"> management systems</w:t>
            </w:r>
            <w:r>
              <w:rPr>
                <w:rFonts w:hint="eastAsia" w:ascii="Times New Roman" w:hAnsi="Times New Roman" w:eastAsia="仿宋" w:cs="Times New Roman"/>
                <w:sz w:val="18"/>
                <w:szCs w:val="18"/>
                <w:lang w:eastAsia="zh-CN"/>
              </w:rPr>
              <w:t>，</w:t>
            </w:r>
            <w:r>
              <w:rPr>
                <w:rFonts w:ascii="Times New Roman" w:hAnsi="Times New Roman" w:eastAsia="仿宋" w:cs="Times New Roman"/>
                <w:sz w:val="18"/>
                <w:szCs w:val="18"/>
              </w:rPr>
              <w:t xml:space="preserve"> impacts of recovery</w:t>
            </w:r>
            <w:r>
              <w:rPr>
                <w:rFonts w:hint="eastAsia" w:ascii="Times New Roman" w:hAnsi="Times New Roman" w:eastAsia="仿宋" w:cs="Times New Roman"/>
                <w:sz w:val="18"/>
                <w:szCs w:val="18"/>
                <w:lang w:eastAsia="zh-CN"/>
              </w:rPr>
              <w:t xml:space="preserve"> </w:t>
            </w:r>
            <w:r>
              <w:rPr>
                <w:rFonts w:ascii="Times New Roman" w:hAnsi="Times New Roman" w:eastAsia="仿宋" w:cs="Times New Roman"/>
                <w:sz w:val="18"/>
                <w:szCs w:val="18"/>
              </w:rPr>
              <w:t>and</w:t>
            </w:r>
            <w:r>
              <w:rPr>
                <w:rFonts w:ascii="Times New Roman" w:hAnsi="Times New Roman" w:eastAsia="仿宋" w:cs="Times New Roman"/>
                <w:spacing w:val="11"/>
                <w:sz w:val="18"/>
                <w:szCs w:val="18"/>
              </w:rPr>
              <w:t xml:space="preserve"> </w:t>
            </w:r>
            <w:r>
              <w:rPr>
                <w:rFonts w:ascii="Times New Roman" w:hAnsi="Times New Roman" w:eastAsia="仿宋" w:cs="Times New Roman"/>
                <w:sz w:val="18"/>
                <w:szCs w:val="18"/>
              </w:rPr>
              <w:t>t</w:t>
            </w:r>
            <w:r>
              <w:rPr>
                <w:rFonts w:ascii="Times New Roman" w:hAnsi="Times New Roman" w:eastAsia="仿宋" w:cs="Times New Roman"/>
                <w:spacing w:val="-1"/>
                <w:sz w:val="18"/>
                <w:szCs w:val="18"/>
              </w:rPr>
              <w:t>echnologies》</w:t>
            </w:r>
          </w:p>
          <w:p>
            <w:pPr>
              <w:pStyle w:val="28"/>
              <w:spacing w:before="24"/>
              <w:ind w:left="109" w:right="86" w:firstLine="5"/>
              <w:jc w:val="left"/>
              <w:rPr>
                <w:rFonts w:ascii="Times New Roman" w:hAnsi="Times New Roman" w:cs="Times New Roman" w:eastAsiaTheme="minorEastAsia"/>
                <w:lang w:eastAsia="zh-CN"/>
              </w:rPr>
            </w:pPr>
            <w:r>
              <w:rPr>
                <w:rFonts w:ascii="Times New Roman" w:hAnsi="Times New Roman" w:eastAsia="仿宋" w:cs="Times New Roman"/>
                <w:sz w:val="18"/>
                <w:szCs w:val="18"/>
                <w:vertAlign w:val="superscript"/>
                <w:lang w:eastAsia="zh-CN"/>
              </w:rPr>
              <w:t>e</w:t>
            </w:r>
            <w:r>
              <w:rPr>
                <w:rFonts w:ascii="Times New Roman" w:hAnsi="Times New Roman" w:eastAsia="仿宋" w:cs="Times New Roman"/>
                <w:sz w:val="18"/>
                <w:szCs w:val="18"/>
                <w:lang w:eastAsia="zh-CN"/>
              </w:rPr>
              <w:t>数据取值来源为《中国产品全生命周期温室气体排放系数集（20</w:t>
            </w:r>
            <w:r>
              <w:rPr>
                <w:rFonts w:ascii="Times New Roman" w:hAnsi="Times New Roman" w:eastAsia="仿宋" w:cs="Times New Roman"/>
                <w:spacing w:val="-1"/>
                <w:sz w:val="18"/>
                <w:szCs w:val="18"/>
                <w:lang w:eastAsia="zh-CN"/>
              </w:rPr>
              <w:t>22）》，混合垃圾处置平均</w:t>
            </w:r>
          </w:p>
        </w:tc>
      </w:tr>
    </w:tbl>
    <w:p>
      <w:pPr>
        <w:widowControl/>
        <w:jc w:val="left"/>
        <w:rPr>
          <w:rFonts w:ascii="宋体" w:hAnsi="宋体" w:eastAsia="宋体" w:cs="宋体"/>
          <w:spacing w:val="8"/>
          <w:sz w:val="20"/>
          <w:szCs w:val="20"/>
        </w:rPr>
      </w:pPr>
      <w:r>
        <w:rPr>
          <w:rFonts w:ascii="宋体" w:hAnsi="宋体" w:eastAsia="宋体" w:cs="宋体"/>
          <w:spacing w:val="8"/>
          <w:sz w:val="20"/>
          <w:szCs w:val="20"/>
        </w:rPr>
        <w:t xml:space="preserve">    </w:t>
      </w:r>
    </w:p>
    <w:p>
      <w:pPr>
        <w:spacing w:before="20" w:line="228" w:lineRule="auto"/>
        <w:ind w:firstLine="516" w:firstLineChars="200"/>
        <w:rPr>
          <w:rFonts w:ascii="Times New Roman" w:hAnsi="Times New Roman" w:cs="Times New Roman"/>
          <w:spacing w:val="9"/>
          <w:sz w:val="24"/>
          <w:szCs w:val="24"/>
        </w:rPr>
      </w:pPr>
      <w:r>
        <w:rPr>
          <w:rFonts w:ascii="Times New Roman" w:hAnsi="Times New Roman" w:cs="Times New Roman"/>
          <w:spacing w:val="9"/>
          <w:sz w:val="24"/>
          <w:szCs w:val="24"/>
        </w:rPr>
        <w:t>电力因子可采用国家相关部门发布值，如</w:t>
      </w:r>
      <w:r>
        <w:rPr>
          <w:rFonts w:ascii="Times New Roman" w:hAnsi="Times New Roman" w:cs="Times New Roman"/>
          <w:spacing w:val="9"/>
          <w:sz w:val="24"/>
          <w:szCs w:val="24"/>
        </w:rPr>
        <w:fldChar w:fldCharType="begin"/>
      </w:r>
      <w:r>
        <w:rPr>
          <w:rFonts w:ascii="Times New Roman" w:hAnsi="Times New Roman" w:cs="Times New Roman"/>
          <w:spacing w:val="9"/>
          <w:sz w:val="24"/>
          <w:szCs w:val="24"/>
        </w:rPr>
        <w:instrText xml:space="preserve"> HYPERLINK "https://www.mee.gov.cn/xxgk2018/xxgk/xxgk01/202501/W020250123519612367413.pdf" </w:instrText>
      </w:r>
      <w:r>
        <w:rPr>
          <w:rFonts w:ascii="Times New Roman" w:hAnsi="Times New Roman" w:cs="Times New Roman"/>
          <w:spacing w:val="9"/>
          <w:sz w:val="24"/>
          <w:szCs w:val="24"/>
        </w:rPr>
        <w:fldChar w:fldCharType="separate"/>
      </w:r>
      <w:r>
        <w:rPr>
          <w:rFonts w:ascii="Times New Roman" w:hAnsi="Times New Roman" w:cs="Times New Roman"/>
          <w:spacing w:val="9"/>
          <w:sz w:val="24"/>
          <w:szCs w:val="24"/>
        </w:rPr>
        <w:t>2023年全国电力碳足迹因子</w:t>
      </w:r>
      <w:r>
        <w:rPr>
          <w:rFonts w:ascii="Times New Roman" w:hAnsi="Times New Roman" w:cs="Times New Roman"/>
          <w:spacing w:val="9"/>
          <w:sz w:val="24"/>
          <w:szCs w:val="24"/>
        </w:rPr>
        <w:fldChar w:fldCharType="end"/>
      </w:r>
      <w:r>
        <w:rPr>
          <w:rFonts w:ascii="Times New Roman" w:hAnsi="Times New Roman" w:cs="Times New Roman"/>
          <w:spacing w:val="9"/>
          <w:sz w:val="24"/>
          <w:szCs w:val="24"/>
        </w:rPr>
        <w:t>：0.6205 kgCO</w:t>
      </w:r>
      <w:r>
        <w:rPr>
          <w:rFonts w:ascii="Times New Roman" w:hAnsi="Times New Roman" w:cs="Times New Roman"/>
          <w:spacing w:val="9"/>
          <w:sz w:val="24"/>
          <w:szCs w:val="24"/>
          <w:vertAlign w:val="subscript"/>
        </w:rPr>
        <w:t>2</w:t>
      </w:r>
      <w:r>
        <w:rPr>
          <w:rFonts w:ascii="Times New Roman" w:hAnsi="Times New Roman" w:cs="Times New Roman"/>
          <w:spacing w:val="9"/>
          <w:sz w:val="24"/>
          <w:szCs w:val="24"/>
        </w:rPr>
        <w:t>e/kWh。</w:t>
      </w:r>
    </w:p>
    <w:p>
      <w:pPr>
        <w:spacing w:before="20" w:line="228" w:lineRule="auto"/>
        <w:ind w:firstLine="516" w:firstLineChars="200"/>
        <w:rPr>
          <w:rFonts w:cs="宋体" w:asciiTheme="minorEastAsia" w:hAnsiTheme="minorEastAsia"/>
          <w:spacing w:val="9"/>
          <w:sz w:val="24"/>
          <w:szCs w:val="24"/>
        </w:rPr>
      </w:pPr>
      <w:r>
        <w:rPr>
          <w:rFonts w:cs="宋体" w:asciiTheme="minorEastAsia" w:hAnsiTheme="minorEastAsia"/>
          <w:spacing w:val="9"/>
          <w:sz w:val="24"/>
          <w:szCs w:val="24"/>
        </w:rPr>
        <w:t>常见化石燃料特定参数值如表</w:t>
      </w:r>
      <w:r>
        <w:rPr>
          <w:rFonts w:ascii="Times New Roman" w:hAnsi="Times New Roman" w:cs="Times New Roman"/>
          <w:spacing w:val="9"/>
          <w:sz w:val="24"/>
          <w:szCs w:val="24"/>
        </w:rPr>
        <w:t>B.2</w:t>
      </w:r>
      <w:r>
        <w:rPr>
          <w:rFonts w:cs="宋体" w:asciiTheme="minorEastAsia" w:hAnsiTheme="minorEastAsia"/>
          <w:spacing w:val="9"/>
          <w:sz w:val="24"/>
          <w:szCs w:val="24"/>
        </w:rPr>
        <w:t>所示。</w:t>
      </w:r>
    </w:p>
    <w:p>
      <w:pPr>
        <w:pStyle w:val="3"/>
        <w:spacing w:before="25" w:line="229" w:lineRule="auto"/>
        <w:ind w:left="3542"/>
        <w:rPr>
          <w:spacing w:val="7"/>
          <w:sz w:val="22"/>
          <w:szCs w:val="22"/>
          <w:lang w:eastAsia="zh-CN"/>
        </w:rPr>
      </w:pPr>
    </w:p>
    <w:p>
      <w:pPr>
        <w:pStyle w:val="3"/>
        <w:spacing w:before="25" w:line="229" w:lineRule="auto"/>
        <w:ind w:left="3542"/>
        <w:rPr>
          <w:rFonts w:ascii="黑体" w:hAnsi="黑体" w:eastAsia="黑体"/>
          <w:lang w:eastAsia="zh-CN"/>
        </w:rPr>
      </w:pPr>
      <w:r>
        <w:rPr>
          <w:rFonts w:ascii="黑体" w:hAnsi="黑体" w:eastAsia="黑体"/>
          <w:spacing w:val="7"/>
          <w:lang w:eastAsia="zh-CN"/>
        </w:rPr>
        <w:t>表B.2 常见化石燃料特定参数值</w:t>
      </w:r>
    </w:p>
    <w:p>
      <w:pPr>
        <w:spacing w:line="130" w:lineRule="exact"/>
      </w:pPr>
    </w:p>
    <w:tbl>
      <w:tblPr>
        <w:tblStyle w:val="29"/>
        <w:tblW w:w="9589" w:type="dxa"/>
        <w:tblInd w:w="-17"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1698"/>
        <w:gridCol w:w="1700"/>
        <w:gridCol w:w="1970"/>
        <w:gridCol w:w="1890"/>
        <w:gridCol w:w="2331"/>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3398" w:type="dxa"/>
            <w:gridSpan w:val="2"/>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bCs/>
                <w:spacing w:val="6"/>
              </w:rPr>
              <w:t>燃料品种</w:t>
            </w:r>
          </w:p>
        </w:tc>
        <w:tc>
          <w:tcPr>
            <w:tcW w:w="1970" w:type="dxa"/>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bCs/>
                <w:spacing w:val="6"/>
              </w:rPr>
              <w:t>低位发热量</w:t>
            </w:r>
          </w:p>
          <w:p>
            <w:pPr>
              <w:pStyle w:val="28"/>
              <w:jc w:val="center"/>
              <w:rPr>
                <w:rFonts w:ascii="Times New Roman" w:hAnsi="Times New Roman" w:cs="Times New Roman" w:eastAsiaTheme="minorEastAsia"/>
                <w:b/>
                <w:lang w:eastAsia="zh-CN"/>
              </w:rPr>
            </w:pPr>
            <w:r>
              <w:rPr>
                <w:rFonts w:ascii="Times New Roman" w:hAnsi="Times New Roman" w:cs="Times New Roman" w:eastAsiaTheme="minorEastAsia"/>
                <w:b/>
              </w:rPr>
              <w:t>GJ</w:t>
            </w:r>
            <w:r>
              <w:rPr>
                <w:rFonts w:ascii="Times New Roman" w:hAnsi="Times New Roman" w:cs="Times New Roman" w:eastAsiaTheme="minorEastAsia"/>
                <w:b/>
                <w:spacing w:val="4"/>
              </w:rPr>
              <w:t>/t</w:t>
            </w:r>
            <w:r>
              <w:rPr>
                <w:rFonts w:ascii="Times New Roman" w:hAnsi="Times New Roman" w:cs="Times New Roman" w:eastAsiaTheme="minorEastAsia"/>
                <w:b/>
                <w:spacing w:val="-19"/>
              </w:rPr>
              <w:t xml:space="preserve"> </w:t>
            </w:r>
            <w:r>
              <w:rPr>
                <w:rFonts w:ascii="Times New Roman" w:hAnsi="Times New Roman" w:cs="Times New Roman" w:eastAsiaTheme="minorEastAsia"/>
                <w:b/>
                <w:spacing w:val="4"/>
              </w:rPr>
              <w:t>，</w:t>
            </w:r>
            <w:r>
              <w:rPr>
                <w:rFonts w:ascii="Times New Roman" w:hAnsi="Times New Roman" w:cs="Times New Roman" w:eastAsiaTheme="minorEastAsia"/>
                <w:b/>
              </w:rPr>
              <w:t>GJ</w:t>
            </w:r>
            <w:r>
              <w:rPr>
                <w:rFonts w:ascii="Times New Roman" w:hAnsi="Times New Roman" w:cs="Times New Roman" w:eastAsiaTheme="minorEastAsia"/>
                <w:b/>
                <w:spacing w:val="4"/>
              </w:rPr>
              <w:t>/10</w:t>
            </w:r>
            <w:r>
              <w:rPr>
                <w:rFonts w:hint="eastAsia" w:ascii="Times New Roman" w:hAnsi="Times New Roman" w:cs="Times New Roman" w:eastAsiaTheme="minorEastAsia"/>
                <w:b/>
                <w:spacing w:val="4"/>
                <w:vertAlign w:val="superscript"/>
                <w:lang w:eastAsia="zh-CN"/>
              </w:rPr>
              <w:t>4</w:t>
            </w:r>
            <w:r>
              <w:rPr>
                <w:rFonts w:ascii="Times New Roman" w:hAnsi="Times New Roman" w:cs="Times New Roman" w:eastAsiaTheme="minorEastAsia"/>
                <w:b/>
              </w:rPr>
              <w:t>Nm</w:t>
            </w:r>
            <w:r>
              <w:rPr>
                <w:rFonts w:hint="eastAsia" w:ascii="Times New Roman" w:hAnsi="Times New Roman" w:cs="Times New Roman" w:eastAsiaTheme="minorEastAsia"/>
                <w:b/>
                <w:vertAlign w:val="superscript"/>
                <w:lang w:eastAsia="zh-CN"/>
              </w:rPr>
              <w:t>3</w:t>
            </w:r>
          </w:p>
        </w:tc>
        <w:tc>
          <w:tcPr>
            <w:tcW w:w="1890" w:type="dxa"/>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bCs/>
                <w:spacing w:val="7"/>
              </w:rPr>
              <w:t>单位热值含碳量</w:t>
            </w:r>
          </w:p>
          <w:p>
            <w:pPr>
              <w:pStyle w:val="28"/>
              <w:jc w:val="center"/>
              <w:rPr>
                <w:rFonts w:ascii="Times New Roman" w:hAnsi="Times New Roman" w:cs="Times New Roman" w:eastAsiaTheme="minorEastAsia"/>
                <w:b/>
              </w:rPr>
            </w:pPr>
            <w:r>
              <w:rPr>
                <w:rFonts w:ascii="Times New Roman" w:hAnsi="Times New Roman" w:cs="Times New Roman" w:eastAsiaTheme="minorEastAsia"/>
                <w:b/>
                <w:bCs/>
                <w:spacing w:val="4"/>
              </w:rPr>
              <w:t>（</w:t>
            </w:r>
            <w:r>
              <w:rPr>
                <w:rFonts w:ascii="Times New Roman" w:hAnsi="Times New Roman" w:cs="Times New Roman" w:eastAsiaTheme="minorEastAsia"/>
                <w:b/>
              </w:rPr>
              <w:t>tCO</w:t>
            </w:r>
            <w:r>
              <w:rPr>
                <w:rFonts w:ascii="Times New Roman" w:hAnsi="Times New Roman" w:cs="Times New Roman" w:eastAsiaTheme="minorEastAsia"/>
                <w:b/>
                <w:spacing w:val="4"/>
                <w:vertAlign w:val="subscript"/>
              </w:rPr>
              <w:t>2</w:t>
            </w:r>
            <w:r>
              <w:rPr>
                <w:rFonts w:ascii="Times New Roman" w:hAnsi="Times New Roman" w:cs="Times New Roman" w:eastAsiaTheme="minorEastAsia"/>
                <w:b/>
                <w:spacing w:val="4"/>
              </w:rPr>
              <w:t>e/</w:t>
            </w:r>
            <w:r>
              <w:rPr>
                <w:rFonts w:ascii="Times New Roman" w:hAnsi="Times New Roman" w:cs="Times New Roman" w:eastAsiaTheme="minorEastAsia"/>
                <w:b/>
              </w:rPr>
              <w:t>GJ</w:t>
            </w:r>
            <w:r>
              <w:rPr>
                <w:rFonts w:ascii="Times New Roman" w:hAnsi="Times New Roman" w:cs="Times New Roman" w:eastAsiaTheme="minorEastAsia"/>
                <w:b/>
                <w:bCs/>
                <w:spacing w:val="4"/>
              </w:rPr>
              <w:t>）</w:t>
            </w:r>
          </w:p>
        </w:tc>
        <w:tc>
          <w:tcPr>
            <w:tcW w:w="2331" w:type="dxa"/>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bCs/>
                <w:spacing w:val="6"/>
              </w:rPr>
              <w:t>燃料碳氧化率</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restart"/>
            <w:tcBorders>
              <w:bottom w:val="nil"/>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6"/>
              </w:rPr>
              <w:t>固体燃料</w:t>
            </w: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无烟煤</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26.700</w:t>
            </w:r>
            <w:r>
              <w:rPr>
                <w:rFonts w:ascii="Times New Roman" w:hAnsi="Times New Roman" w:cs="Times New Roman"/>
                <w:spacing w:val="-1"/>
                <w:szCs w:val="21"/>
                <w:vertAlign w:val="superscript"/>
              </w:rPr>
              <w:t>a</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27.40×10</w:t>
            </w:r>
            <w:r>
              <w:rPr>
                <w:rFonts w:ascii="Times New Roman" w:hAnsi="Times New Roman" w:cs="Times New Roman"/>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4"/>
              </w:rPr>
              <w:t>烟煤</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3"/>
                <w:szCs w:val="21"/>
              </w:rPr>
              <w:t>19.570</w:t>
            </w:r>
            <w:r>
              <w:rPr>
                <w:rFonts w:ascii="Times New Roman" w:hAnsi="Times New Roman" w:cs="Times New Roman"/>
                <w:spacing w:val="-1"/>
                <w:szCs w:val="21"/>
                <w:vertAlign w:val="superscript"/>
              </w:rPr>
              <w:t>c</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26.10×10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93%</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4"/>
              </w:rPr>
              <w:t>褐煤</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3"/>
                <w:szCs w:val="21"/>
              </w:rPr>
              <w:t>11.900</w:t>
            </w:r>
            <w:r>
              <w:rPr>
                <w:rFonts w:ascii="Times New Roman" w:hAnsi="Times New Roman" w:cs="Times New Roman"/>
                <w:spacing w:val="-1"/>
                <w:szCs w:val="21"/>
                <w:vertAlign w:val="superscript"/>
              </w:rPr>
              <w:t>a</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28.00×10</w:t>
            </w:r>
            <w:r>
              <w:rPr>
                <w:rFonts w:ascii="Times New Roman" w:hAnsi="Times New Roman" w:cs="Times New Roman"/>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96%</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洗精煤</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26.344</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25.41×10</w:t>
            </w:r>
            <w:r>
              <w:rPr>
                <w:rFonts w:ascii="Times New Roman" w:hAnsi="Times New Roman" w:cs="Times New Roman"/>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2"/>
                <w:szCs w:val="21"/>
              </w:rPr>
              <w:t>90%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其他洗煤</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3"/>
                <w:szCs w:val="21"/>
              </w:rPr>
              <w:t>12.545</w:t>
            </w:r>
            <w:r>
              <w:rPr>
                <w:rFonts w:ascii="Times New Roman" w:hAnsi="Times New Roman" w:cs="Times New Roman"/>
                <w:spacing w:val="-3"/>
                <w:position w:val="5"/>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25.41×10</w:t>
            </w:r>
            <w:r>
              <w:rPr>
                <w:rFonts w:ascii="Times New Roman" w:hAnsi="Times New Roman" w:cs="Times New Roman"/>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7"/>
              </w:rPr>
              <w:t>型煤</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3"/>
                <w:szCs w:val="21"/>
              </w:rPr>
              <w:t>17.460</w:t>
            </w:r>
            <w:r>
              <w:rPr>
                <w:rFonts w:ascii="Times New Roman" w:hAnsi="Times New Roman" w:cs="Times New Roman"/>
                <w:spacing w:val="-3"/>
                <w:szCs w:val="21"/>
                <w:vertAlign w:val="superscript"/>
              </w:rPr>
              <w:t>c</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1"/>
                <w:szCs w:val="21"/>
              </w:rPr>
              <w:t>33.60×10</w:t>
            </w:r>
            <w:r>
              <w:rPr>
                <w:rFonts w:ascii="Times New Roman" w:hAnsi="Times New Roman" w:cs="Times New Roman"/>
                <w:spacing w:val="-1"/>
                <w:position w:val="5"/>
                <w:szCs w:val="21"/>
                <w:vertAlign w:val="superscript"/>
              </w:rPr>
              <w:t>-3c</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4"/>
              </w:rPr>
              <w:t>焦炭</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28.435</w:t>
            </w:r>
            <w:r>
              <w:rPr>
                <w:rFonts w:ascii="Times New Roman" w:hAnsi="Times New Roman" w:cs="Times New Roman"/>
                <w:spacing w:val="-1"/>
                <w:szCs w:val="21"/>
                <w:vertAlign w:val="superscript"/>
              </w:rPr>
              <w:t>c</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29.50×10</w:t>
            </w:r>
            <w:r>
              <w:rPr>
                <w:rFonts w:ascii="Times New Roman" w:hAnsi="Times New Roman" w:cs="Times New Roman"/>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93%</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restart"/>
            <w:tcBorders>
              <w:bottom w:val="nil"/>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液体燃料</w:t>
            </w: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6"/>
              </w:rPr>
              <w:t>原油</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41.816</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20.10×10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燃料油</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41.816</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21.10×10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4"/>
              </w:rPr>
              <w:t>汽油</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43.070</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18.90×10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4"/>
              </w:rPr>
              <w:t>柴油</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42.652</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20.20×10</w:t>
            </w:r>
            <w:r>
              <w:rPr>
                <w:rFonts w:ascii="Times New Roman" w:hAnsi="Times New Roman" w:cs="Times New Roman"/>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一般煤油</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43.070</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19.60×10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液化天然气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2"/>
                <w:szCs w:val="21"/>
              </w:rPr>
              <w:t>51.44</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15.30×10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2"/>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nil"/>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液化石油气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50.179</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17.20×10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2"/>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nil"/>
              <w:bottom w:val="single" w:color="auto" w:sz="4" w:space="0"/>
            </w:tcBorders>
            <w:vAlign w:val="center"/>
          </w:tcPr>
          <w:p>
            <w:pPr>
              <w:jc w:val="center"/>
              <w:rPr>
                <w:rFonts w:ascii="Times New Roman" w:hAnsi="Times New Roman" w:cs="Times New Roman"/>
                <w:szCs w:val="21"/>
              </w:rPr>
            </w:pPr>
          </w:p>
        </w:tc>
        <w:tc>
          <w:tcPr>
            <w:tcW w:w="1700"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煤焦油</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33.453</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22.00×10</w:t>
            </w:r>
            <w:r>
              <w:rPr>
                <w:rFonts w:ascii="Times New Roman" w:hAnsi="Times New Roman" w:cs="Times New Roman"/>
                <w:position w:val="5"/>
                <w:szCs w:val="21"/>
                <w:vertAlign w:val="superscript"/>
              </w:rPr>
              <w:t>-3a</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restart"/>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r>
              <w:rPr>
                <w:rFonts w:ascii="Times New Roman" w:hAnsi="Times New Roman" w:cs="Times New Roman"/>
                <w:szCs w:val="21"/>
              </w:rPr>
              <w:t>气体燃料</w:t>
            </w:r>
          </w:p>
        </w:tc>
        <w:tc>
          <w:tcPr>
            <w:tcW w:w="1700" w:type="dxa"/>
            <w:tcBorders>
              <w:lef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炼厂干气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45.998</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18.20×10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p>
        </w:tc>
        <w:tc>
          <w:tcPr>
            <w:tcW w:w="1700" w:type="dxa"/>
            <w:tcBorders>
              <w:lef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焦炉煤气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3"/>
                <w:szCs w:val="21"/>
              </w:rPr>
              <w:t>179.81</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13.58×10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p>
        </w:tc>
        <w:tc>
          <w:tcPr>
            <w:tcW w:w="1700" w:type="dxa"/>
            <w:tcBorders>
              <w:lef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高炉煤气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33.000</w:t>
            </w:r>
            <w:r>
              <w:rPr>
                <w:rFonts w:ascii="Times New Roman" w:hAnsi="Times New Roman" w:cs="Times New Roman"/>
                <w:spacing w:val="-1"/>
                <w:szCs w:val="21"/>
                <w:vertAlign w:val="superscript"/>
              </w:rPr>
              <w:t>c</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1"/>
                <w:szCs w:val="21"/>
              </w:rPr>
              <w:t>70.80×10</w:t>
            </w:r>
            <w:r>
              <w:rPr>
                <w:rFonts w:ascii="Times New Roman" w:hAnsi="Times New Roman" w:cs="Times New Roman"/>
                <w:spacing w:val="-1"/>
                <w:position w:val="5"/>
                <w:szCs w:val="21"/>
                <w:vertAlign w:val="superscript"/>
              </w:rPr>
              <w:t>-3a</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p>
        </w:tc>
        <w:tc>
          <w:tcPr>
            <w:tcW w:w="1700" w:type="dxa"/>
            <w:tcBorders>
              <w:lef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转炉煤气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2"/>
                <w:szCs w:val="21"/>
              </w:rPr>
              <w:t>84.000</w:t>
            </w:r>
            <w:r>
              <w:rPr>
                <w:rFonts w:ascii="Times New Roman" w:hAnsi="Times New Roman" w:cs="Times New Roman"/>
                <w:spacing w:val="-1"/>
                <w:szCs w:val="21"/>
                <w:vertAlign w:val="superscript"/>
              </w:rPr>
              <w:t>c</w:t>
            </w:r>
          </w:p>
        </w:tc>
        <w:tc>
          <w:tcPr>
            <w:tcW w:w="1890" w:type="dxa"/>
            <w:vAlign w:val="center"/>
          </w:tcPr>
          <w:p>
            <w:pPr>
              <w:jc w:val="center"/>
              <w:rPr>
                <w:rFonts w:ascii="Times New Roman" w:hAnsi="Times New Roman" w:cs="Times New Roman"/>
                <w:szCs w:val="21"/>
              </w:rPr>
            </w:pPr>
            <w:r>
              <w:rPr>
                <w:rFonts w:ascii="Times New Roman" w:hAnsi="Times New Roman" w:cs="Times New Roman"/>
                <w:szCs w:val="21"/>
              </w:rPr>
              <w:t>49.60×10</w:t>
            </w:r>
            <w:r>
              <w:rPr>
                <w:rFonts w:ascii="Times New Roman" w:hAnsi="Times New Roman" w:cs="Times New Roman"/>
                <w:position w:val="5"/>
                <w:szCs w:val="21"/>
                <w:vertAlign w:val="superscript"/>
              </w:rPr>
              <w:t>-3c</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p>
        </w:tc>
        <w:tc>
          <w:tcPr>
            <w:tcW w:w="1700" w:type="dxa"/>
            <w:tcBorders>
              <w:lef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其他煤气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52.270</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12.20×10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98" w:type="dxa"/>
            <w:vMerge w:val="continue"/>
            <w:tcBorders>
              <w:top w:val="single" w:color="auto" w:sz="4" w:space="0"/>
              <w:bottom w:val="single" w:color="auto" w:sz="4" w:space="0"/>
              <w:right w:val="single" w:color="auto" w:sz="4" w:space="0"/>
            </w:tcBorders>
            <w:vAlign w:val="center"/>
          </w:tcPr>
          <w:p>
            <w:pPr>
              <w:jc w:val="center"/>
              <w:rPr>
                <w:rFonts w:ascii="Times New Roman" w:hAnsi="Times New Roman" w:cs="Times New Roman"/>
                <w:szCs w:val="21"/>
              </w:rPr>
            </w:pPr>
          </w:p>
        </w:tc>
        <w:tc>
          <w:tcPr>
            <w:tcW w:w="1700" w:type="dxa"/>
            <w:tcBorders>
              <w:lef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4"/>
              </w:rPr>
              <w:t>天然气</w:t>
            </w:r>
          </w:p>
        </w:tc>
        <w:tc>
          <w:tcPr>
            <w:tcW w:w="1970" w:type="dxa"/>
            <w:vAlign w:val="center"/>
          </w:tcPr>
          <w:p>
            <w:pPr>
              <w:jc w:val="center"/>
              <w:rPr>
                <w:rFonts w:ascii="Times New Roman" w:hAnsi="Times New Roman" w:cs="Times New Roman"/>
                <w:szCs w:val="21"/>
              </w:rPr>
            </w:pPr>
            <w:r>
              <w:rPr>
                <w:rFonts w:ascii="Times New Roman" w:hAnsi="Times New Roman" w:cs="Times New Roman"/>
                <w:spacing w:val="-1"/>
                <w:szCs w:val="21"/>
              </w:rPr>
              <w:t>389.310</w:t>
            </w:r>
            <w:r>
              <w:rPr>
                <w:rFonts w:ascii="Times New Roman" w:hAnsi="Times New Roman" w:cs="Times New Roman"/>
                <w:spacing w:val="-1"/>
                <w:szCs w:val="21"/>
                <w:vertAlign w:val="superscript"/>
              </w:rPr>
              <w:t>d</w:t>
            </w:r>
          </w:p>
        </w:tc>
        <w:tc>
          <w:tcPr>
            <w:tcW w:w="1890" w:type="dxa"/>
            <w:vAlign w:val="center"/>
          </w:tcPr>
          <w:p>
            <w:pPr>
              <w:jc w:val="center"/>
              <w:rPr>
                <w:rFonts w:ascii="Times New Roman" w:hAnsi="Times New Roman" w:cs="Times New Roman"/>
                <w:szCs w:val="21"/>
              </w:rPr>
            </w:pPr>
            <w:r>
              <w:rPr>
                <w:rFonts w:ascii="Times New Roman" w:hAnsi="Times New Roman" w:cs="Times New Roman"/>
                <w:spacing w:val="-2"/>
                <w:szCs w:val="21"/>
              </w:rPr>
              <w:t>15.30×10</w:t>
            </w:r>
            <w:r>
              <w:rPr>
                <w:rFonts w:ascii="Times New Roman" w:hAnsi="Times New Roman" w:cs="Times New Roman"/>
                <w:spacing w:val="-2"/>
                <w:position w:val="5"/>
                <w:szCs w:val="21"/>
                <w:vertAlign w:val="superscript"/>
              </w:rPr>
              <w:t>-3b</w:t>
            </w:r>
          </w:p>
        </w:tc>
        <w:tc>
          <w:tcPr>
            <w:tcW w:w="2331" w:type="dxa"/>
            <w:vAlign w:val="center"/>
          </w:tcPr>
          <w:p>
            <w:pPr>
              <w:jc w:val="center"/>
              <w:rPr>
                <w:rFonts w:ascii="Times New Roman" w:hAnsi="Times New Roman" w:cs="Times New Roman"/>
                <w:szCs w:val="21"/>
              </w:rPr>
            </w:pPr>
            <w:r>
              <w:rPr>
                <w:rFonts w:ascii="Times New Roman" w:hAnsi="Times New Roman" w:cs="Times New Roman"/>
                <w:spacing w:val="-3"/>
                <w:szCs w:val="21"/>
              </w:rPr>
              <w:t>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1434" w:hRule="atLeast"/>
        </w:trPr>
        <w:tc>
          <w:tcPr>
            <w:tcW w:w="9589" w:type="dxa"/>
            <w:gridSpan w:val="5"/>
            <w:tcBorders>
              <w:top w:val="single" w:color="auto" w:sz="4" w:space="0"/>
            </w:tcBorders>
          </w:tcPr>
          <w:p>
            <w:pPr>
              <w:pStyle w:val="28"/>
              <w:spacing w:before="4"/>
              <w:ind w:left="109"/>
              <w:jc w:val="left"/>
              <w:rPr>
                <w:rFonts w:ascii="Times New Roman" w:hAnsi="Times New Roman" w:eastAsia="仿宋" w:cs="Times New Roman"/>
                <w:sz w:val="18"/>
                <w:szCs w:val="18"/>
                <w:lang w:eastAsia="zh-CN"/>
              </w:rPr>
            </w:pPr>
            <w:r>
              <w:rPr>
                <w:rFonts w:ascii="Times New Roman" w:hAnsi="Times New Roman" w:eastAsia="仿宋" w:cs="Times New Roman"/>
                <w:sz w:val="18"/>
                <w:szCs w:val="18"/>
                <w:vertAlign w:val="superscript"/>
                <w:lang w:eastAsia="zh-CN"/>
              </w:rPr>
              <w:t>a</w:t>
            </w:r>
            <w:r>
              <w:rPr>
                <w:rFonts w:ascii="Times New Roman" w:hAnsi="Times New Roman" w:eastAsia="仿宋" w:cs="Times New Roman"/>
                <w:sz w:val="18"/>
                <w:szCs w:val="18"/>
                <w:lang w:eastAsia="zh-CN"/>
              </w:rPr>
              <w:t xml:space="preserve"> 数据取值来源为《2006年IPCC国家温室气体清单指南》 </w:t>
            </w:r>
          </w:p>
          <w:p>
            <w:pPr>
              <w:pStyle w:val="28"/>
              <w:spacing w:before="4"/>
              <w:ind w:left="109"/>
              <w:jc w:val="left"/>
              <w:rPr>
                <w:rFonts w:ascii="Times New Roman" w:hAnsi="Times New Roman" w:eastAsia="仿宋" w:cs="Times New Roman"/>
                <w:sz w:val="18"/>
                <w:szCs w:val="18"/>
                <w:lang w:eastAsia="zh-CN"/>
              </w:rPr>
            </w:pPr>
            <w:r>
              <w:rPr>
                <w:rFonts w:ascii="Times New Roman" w:hAnsi="Times New Roman" w:eastAsia="仿宋" w:cs="Times New Roman"/>
                <w:sz w:val="18"/>
                <w:szCs w:val="18"/>
                <w:vertAlign w:val="superscript"/>
                <w:lang w:eastAsia="zh-CN"/>
              </w:rPr>
              <w:t>b</w:t>
            </w:r>
            <w:r>
              <w:rPr>
                <w:rFonts w:ascii="Times New Roman" w:hAnsi="Times New Roman" w:eastAsia="仿宋" w:cs="Times New Roman"/>
                <w:sz w:val="18"/>
                <w:szCs w:val="18"/>
                <w:lang w:eastAsia="zh-CN"/>
              </w:rPr>
              <w:t xml:space="preserve"> 数据取值来源为《省级温室气体清单指南（试行）》</w:t>
            </w:r>
          </w:p>
          <w:p>
            <w:pPr>
              <w:pStyle w:val="28"/>
              <w:spacing w:before="4"/>
              <w:ind w:left="109"/>
              <w:jc w:val="left"/>
              <w:rPr>
                <w:rFonts w:ascii="Times New Roman" w:hAnsi="Times New Roman" w:eastAsia="仿宋" w:cs="Times New Roman"/>
                <w:sz w:val="18"/>
                <w:szCs w:val="18"/>
                <w:lang w:eastAsia="zh-CN"/>
              </w:rPr>
            </w:pPr>
            <w:r>
              <w:rPr>
                <w:rFonts w:ascii="Times New Roman" w:hAnsi="Times New Roman" w:eastAsia="仿宋" w:cs="Times New Roman"/>
                <w:sz w:val="18"/>
                <w:szCs w:val="18"/>
                <w:vertAlign w:val="superscript"/>
                <w:lang w:eastAsia="zh-CN"/>
              </w:rPr>
              <w:t>c</w:t>
            </w:r>
            <w:r>
              <w:rPr>
                <w:rFonts w:ascii="Times New Roman" w:hAnsi="Times New Roman" w:eastAsia="仿宋" w:cs="Times New Roman"/>
                <w:sz w:val="18"/>
                <w:szCs w:val="18"/>
                <w:lang w:eastAsia="zh-CN"/>
              </w:rPr>
              <w:t xml:space="preserve"> 数据取值来源为《中国温室气体清单研究（2007）》 </w:t>
            </w:r>
          </w:p>
          <w:p>
            <w:pPr>
              <w:pStyle w:val="28"/>
              <w:spacing w:before="4"/>
              <w:ind w:left="109"/>
              <w:jc w:val="left"/>
              <w:rPr>
                <w:rFonts w:ascii="Times New Roman" w:hAnsi="Times New Roman" w:eastAsia="仿宋" w:cs="Times New Roman"/>
                <w:sz w:val="18"/>
                <w:szCs w:val="18"/>
                <w:lang w:eastAsia="zh-CN"/>
              </w:rPr>
            </w:pPr>
            <w:r>
              <w:rPr>
                <w:rFonts w:hint="eastAsia" w:ascii="Times New Roman" w:hAnsi="Times New Roman" w:eastAsia="仿宋" w:cs="Times New Roman"/>
                <w:sz w:val="18"/>
                <w:szCs w:val="18"/>
                <w:vertAlign w:val="superscript"/>
                <w:lang w:eastAsia="zh-CN"/>
              </w:rPr>
              <w:t>d</w:t>
            </w:r>
            <w:r>
              <w:rPr>
                <w:rFonts w:hint="eastAsia" w:ascii="Times New Roman" w:hAnsi="Times New Roman" w:eastAsia="仿宋" w:cs="Times New Roman"/>
                <w:sz w:val="18"/>
                <w:szCs w:val="18"/>
                <w:lang w:eastAsia="zh-CN"/>
              </w:rPr>
              <w:t xml:space="preserve"> </w:t>
            </w:r>
            <w:r>
              <w:rPr>
                <w:rFonts w:ascii="Times New Roman" w:hAnsi="Times New Roman" w:eastAsia="仿宋" w:cs="Times New Roman"/>
                <w:sz w:val="18"/>
                <w:szCs w:val="18"/>
                <w:lang w:eastAsia="zh-CN"/>
              </w:rPr>
              <w:t>数据取值来源为《中国能源统计年鉴（2019</w:t>
            </w:r>
            <w:r>
              <w:rPr>
                <w:rFonts w:hint="eastAsia" w:ascii="Times New Roman" w:hAnsi="Times New Roman" w:eastAsia="仿宋" w:cs="Times New Roman"/>
                <w:sz w:val="18"/>
                <w:szCs w:val="18"/>
                <w:lang w:eastAsia="zh-CN"/>
              </w:rPr>
              <w:t>）</w:t>
            </w:r>
            <w:r>
              <w:rPr>
                <w:rFonts w:ascii="Times New Roman" w:hAnsi="Times New Roman" w:eastAsia="仿宋" w:cs="Times New Roman"/>
                <w:sz w:val="18"/>
                <w:szCs w:val="18"/>
                <w:lang w:eastAsia="zh-CN"/>
              </w:rPr>
              <w:t>》</w:t>
            </w:r>
          </w:p>
        </w:tc>
      </w:tr>
    </w:tbl>
    <w:p>
      <w:pPr>
        <w:widowControl/>
        <w:jc w:val="left"/>
        <w:rPr>
          <w:rFonts w:hint="eastAsia" w:ascii="黑体" w:hAnsi="黑体" w:eastAsia="黑体" w:cs="Times New Roman"/>
          <w:bCs/>
          <w:kern w:val="44"/>
          <w:sz w:val="28"/>
          <w:szCs w:val="28"/>
        </w:rPr>
      </w:pPr>
      <w:bookmarkStart w:id="38" w:name="_Toc28109"/>
      <w:bookmarkStart w:id="39" w:name="_Toc17534"/>
    </w:p>
    <w:p>
      <w:pPr>
        <w:widowControl/>
        <w:jc w:val="left"/>
        <w:rPr>
          <w:rFonts w:hint="eastAsia" w:ascii="黑体" w:hAnsi="黑体" w:eastAsia="黑体" w:cs="Times New Roman"/>
          <w:bCs/>
          <w:kern w:val="44"/>
          <w:sz w:val="28"/>
          <w:szCs w:val="28"/>
        </w:rPr>
      </w:pPr>
    </w:p>
    <w:p>
      <w:pPr>
        <w:widowControl/>
        <w:jc w:val="left"/>
        <w:rPr>
          <w:rFonts w:hint="eastAsia" w:ascii="黑体" w:hAnsi="黑体" w:eastAsia="黑体" w:cs="Times New Roman"/>
          <w:bCs/>
          <w:kern w:val="44"/>
          <w:sz w:val="28"/>
          <w:szCs w:val="28"/>
        </w:rPr>
      </w:pPr>
    </w:p>
    <w:p>
      <w:pPr>
        <w:widowControl/>
        <w:jc w:val="left"/>
        <w:rPr>
          <w:rFonts w:ascii="黑体" w:hAnsi="黑体" w:eastAsia="黑体" w:cs="Times New Roman"/>
          <w:bCs/>
          <w:kern w:val="44"/>
          <w:sz w:val="28"/>
          <w:szCs w:val="28"/>
        </w:rPr>
      </w:pPr>
      <w:r>
        <w:rPr>
          <w:rFonts w:hint="eastAsia" w:ascii="黑体" w:hAnsi="黑体" w:eastAsia="黑体" w:cs="Times New Roman"/>
          <w:bCs/>
          <w:kern w:val="44"/>
          <w:sz w:val="28"/>
          <w:szCs w:val="28"/>
        </w:rPr>
        <w:t>附录C</w:t>
      </w:r>
    </w:p>
    <w:bookmarkEnd w:id="38"/>
    <w:bookmarkEnd w:id="39"/>
    <w:p>
      <w:pPr>
        <w:pStyle w:val="3"/>
        <w:spacing w:line="221" w:lineRule="auto"/>
        <w:jc w:val="center"/>
        <w:outlineLvl w:val="0"/>
        <w:rPr>
          <w:rFonts w:ascii="黑体" w:hAnsi="黑体" w:eastAsia="黑体" w:cs="黑体"/>
          <w:bCs/>
          <w:spacing w:val="-1"/>
          <w:sz w:val="28"/>
          <w:szCs w:val="28"/>
          <w:lang w:val="zh-CN" w:eastAsia="zh-CN"/>
        </w:rPr>
      </w:pPr>
      <w:bookmarkStart w:id="40" w:name="_Toc20195"/>
      <w:bookmarkStart w:id="41" w:name="_Toc14978"/>
      <w:bookmarkStart w:id="42" w:name="_Toc10760"/>
      <w:r>
        <w:rPr>
          <w:rFonts w:hint="eastAsia" w:ascii="黑体" w:hAnsi="黑体" w:eastAsia="黑体" w:cs="黑体"/>
          <w:bCs/>
          <w:spacing w:val="-1"/>
          <w:sz w:val="28"/>
          <w:szCs w:val="28"/>
          <w:lang w:val="zh-CN" w:eastAsia="zh-CN"/>
        </w:rPr>
        <w:t xml:space="preserve">附录 </w:t>
      </w:r>
      <w:r>
        <w:rPr>
          <w:rFonts w:ascii="黑体" w:hAnsi="黑体" w:eastAsia="黑体" w:cs="黑体"/>
          <w:bCs/>
          <w:spacing w:val="-1"/>
          <w:sz w:val="28"/>
          <w:szCs w:val="28"/>
          <w:lang w:eastAsia="zh-CN"/>
        </w:rPr>
        <w:t>C</w:t>
      </w:r>
    </w:p>
    <w:p>
      <w:pPr>
        <w:pStyle w:val="3"/>
        <w:spacing w:line="221" w:lineRule="auto"/>
        <w:jc w:val="center"/>
        <w:outlineLvl w:val="0"/>
        <w:rPr>
          <w:rFonts w:ascii="黑体" w:hAnsi="黑体" w:eastAsia="黑体" w:cs="黑体"/>
          <w:bCs/>
          <w:spacing w:val="-1"/>
          <w:sz w:val="28"/>
          <w:szCs w:val="28"/>
          <w:lang w:val="zh-CN" w:eastAsia="zh-CN"/>
        </w:rPr>
      </w:pPr>
      <w:r>
        <w:rPr>
          <w:rFonts w:hint="eastAsia" w:ascii="黑体" w:hAnsi="黑体" w:eastAsia="黑体" w:cs="黑体"/>
          <w:bCs/>
          <w:spacing w:val="-1"/>
          <w:sz w:val="28"/>
          <w:szCs w:val="28"/>
          <w:lang w:val="zh-CN" w:eastAsia="zh-CN"/>
        </w:rPr>
        <w:t>（</w:t>
      </w:r>
      <w:r>
        <w:rPr>
          <w:rFonts w:ascii="黑体" w:hAnsi="黑体" w:eastAsia="黑体" w:cs="黑体"/>
          <w:bCs/>
          <w:spacing w:val="-1"/>
          <w:sz w:val="28"/>
          <w:szCs w:val="28"/>
          <w:lang w:eastAsia="zh-CN"/>
        </w:rPr>
        <w:t>资料</w:t>
      </w:r>
      <w:r>
        <w:rPr>
          <w:rFonts w:hint="eastAsia" w:ascii="黑体" w:hAnsi="黑体" w:eastAsia="黑体" w:cs="黑体"/>
          <w:bCs/>
          <w:spacing w:val="-1"/>
          <w:sz w:val="28"/>
          <w:szCs w:val="28"/>
          <w:lang w:val="zh-CN" w:eastAsia="zh-CN"/>
        </w:rPr>
        <w:t>性</w:t>
      </w:r>
      <w:bookmarkEnd w:id="40"/>
      <w:bookmarkEnd w:id="41"/>
      <w:bookmarkEnd w:id="42"/>
      <w:r>
        <w:rPr>
          <w:rFonts w:hint="eastAsia" w:ascii="黑体" w:hAnsi="黑体" w:eastAsia="黑体" w:cs="黑体"/>
          <w:bCs/>
          <w:spacing w:val="-1"/>
          <w:sz w:val="28"/>
          <w:szCs w:val="28"/>
          <w:lang w:val="zh-CN" w:eastAsia="zh-CN"/>
        </w:rPr>
        <w:t>）</w:t>
      </w:r>
    </w:p>
    <w:p>
      <w:pPr>
        <w:pStyle w:val="3"/>
        <w:spacing w:line="221" w:lineRule="auto"/>
        <w:jc w:val="center"/>
        <w:outlineLvl w:val="0"/>
        <w:rPr>
          <w:rFonts w:ascii="黑体" w:hAnsi="黑体" w:eastAsia="黑体" w:cs="黑体"/>
          <w:bCs/>
          <w:spacing w:val="-1"/>
          <w:sz w:val="28"/>
          <w:szCs w:val="28"/>
          <w:lang w:val="zh-CN" w:eastAsia="zh-CN"/>
        </w:rPr>
      </w:pPr>
      <w:bookmarkStart w:id="43" w:name="_Toc6058"/>
      <w:bookmarkStart w:id="44" w:name="_Toc23908"/>
      <w:bookmarkStart w:id="45" w:name="_Toc28035"/>
      <w:r>
        <w:rPr>
          <w:rFonts w:hint="eastAsia" w:ascii="黑体" w:hAnsi="黑体" w:eastAsia="黑体" w:cs="黑体"/>
          <w:bCs/>
          <w:spacing w:val="-1"/>
          <w:sz w:val="28"/>
          <w:szCs w:val="28"/>
          <w:lang w:val="zh-CN" w:eastAsia="zh-CN"/>
        </w:rPr>
        <w:t>雪地轮胎产品碳足迹</w:t>
      </w:r>
      <w:r>
        <w:rPr>
          <w:rFonts w:ascii="黑体" w:hAnsi="黑体" w:eastAsia="黑体" w:cs="黑体"/>
          <w:bCs/>
          <w:spacing w:val="-1"/>
          <w:sz w:val="28"/>
          <w:szCs w:val="28"/>
          <w:lang w:eastAsia="zh-CN"/>
        </w:rPr>
        <w:t>量化</w:t>
      </w:r>
      <w:r>
        <w:rPr>
          <w:rFonts w:hint="eastAsia" w:ascii="黑体" w:hAnsi="黑体" w:eastAsia="黑体" w:cs="黑体"/>
          <w:bCs/>
          <w:spacing w:val="-1"/>
          <w:sz w:val="28"/>
          <w:szCs w:val="28"/>
          <w:lang w:val="zh-CN" w:eastAsia="zh-CN"/>
        </w:rPr>
        <w:t>报告模板</w:t>
      </w:r>
      <w:bookmarkEnd w:id="43"/>
      <w:bookmarkEnd w:id="44"/>
      <w:bookmarkEnd w:id="45"/>
    </w:p>
    <w:p>
      <w:pPr>
        <w:pStyle w:val="28"/>
        <w:spacing w:before="149" w:line="199" w:lineRule="auto"/>
        <w:ind w:left="2325"/>
        <w:outlineLvl w:val="0"/>
        <w:rPr>
          <w:spacing w:val="25"/>
          <w:sz w:val="39"/>
          <w:szCs w:val="39"/>
          <w:lang w:val="zh-CN" w:eastAsia="zh-CN"/>
        </w:rPr>
      </w:pPr>
      <w:r>
        <w:rPr>
          <w:sz w:val="39"/>
          <w:lang w:eastAsia="zh-CN"/>
        </w:rPr>
        <mc:AlternateContent>
          <mc:Choice Requires="wps">
            <w:drawing>
              <wp:anchor distT="0" distB="0" distL="114300" distR="114300" simplePos="0" relativeHeight="251680768" behindDoc="0" locked="0" layoutInCell="1" allowOverlap="1">
                <wp:simplePos x="0" y="0"/>
                <wp:positionH relativeFrom="column">
                  <wp:posOffset>-45085</wp:posOffset>
                </wp:positionH>
                <wp:positionV relativeFrom="paragraph">
                  <wp:posOffset>-4445</wp:posOffset>
                </wp:positionV>
                <wp:extent cx="6205220" cy="8382000"/>
                <wp:effectExtent l="0" t="0" r="24130" b="19050"/>
                <wp:wrapNone/>
                <wp:docPr id="10" name="矩形 10"/>
                <wp:cNvGraphicFramePr/>
                <a:graphic xmlns:a="http://schemas.openxmlformats.org/drawingml/2006/main">
                  <a:graphicData uri="http://schemas.microsoft.com/office/word/2010/wordprocessingShape">
                    <wps:wsp>
                      <wps:cNvSpPr/>
                      <wps:spPr>
                        <a:xfrm>
                          <a:off x="0" y="0"/>
                          <a:ext cx="6205220" cy="838200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55pt;margin-top:-0.35pt;height:660pt;width:488.6pt;z-index:251680768;v-text-anchor:middle;mso-width-relative:page;mso-height-relative:page;" filled="f" stroked="t" coordsize="21600,21600" o:gfxdata="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WAAAAZHJzL1BLAQIUABQA&#10;AAAIAIdO4kAtd6V/1wAAAAkBAAAPAAAAAAAAAAEAIAAAADgAAABkcnMvZG93bnJldi54bWxQSwEC&#10;FAAUAAAACACHTuJA0chtFFECAACPBAAADgAAAAAAAAABACAAAAA8AQAAZHJzL2Uyb0RvYy54bWxQ&#10;SwUGAAAAAAYABgBZAQAA/wUAAAAA&#10;">
                <v:fill on="f" focussize="0,0"/>
                <v:stroke weight="1pt" color="#000000 [3213]" miterlimit="8" joinstyle="miter"/>
                <v:imagedata o:title=""/>
                <o:lock v:ext="edit" aspectratio="f"/>
              </v:rect>
            </w:pict>
          </mc:Fallback>
        </mc:AlternateContent>
      </w:r>
    </w:p>
    <w:p>
      <w:pPr>
        <w:pStyle w:val="28"/>
        <w:spacing w:before="149" w:line="199" w:lineRule="auto"/>
        <w:ind w:left="2325"/>
        <w:outlineLvl w:val="0"/>
        <w:rPr>
          <w:spacing w:val="25"/>
          <w:sz w:val="39"/>
          <w:szCs w:val="39"/>
          <w:lang w:val="zh-CN" w:eastAsia="zh-CN"/>
        </w:rPr>
      </w:pPr>
    </w:p>
    <w:p>
      <w:pPr>
        <w:pStyle w:val="28"/>
        <w:spacing w:before="149" w:line="199" w:lineRule="auto"/>
        <w:ind w:left="2325"/>
        <w:outlineLvl w:val="0"/>
        <w:rPr>
          <w:spacing w:val="25"/>
          <w:sz w:val="39"/>
          <w:szCs w:val="39"/>
          <w:lang w:val="zh-CN" w:eastAsia="zh-CN"/>
        </w:rPr>
      </w:pPr>
    </w:p>
    <w:p>
      <w:pPr>
        <w:pStyle w:val="28"/>
        <w:spacing w:before="149" w:line="199" w:lineRule="auto"/>
        <w:ind w:left="2325"/>
        <w:outlineLvl w:val="0"/>
        <w:rPr>
          <w:spacing w:val="25"/>
          <w:sz w:val="39"/>
          <w:szCs w:val="39"/>
          <w:lang w:val="zh-CN" w:eastAsia="zh-CN"/>
        </w:rPr>
      </w:pPr>
    </w:p>
    <w:p>
      <w:pPr>
        <w:pStyle w:val="28"/>
        <w:spacing w:before="149" w:line="199" w:lineRule="auto"/>
        <w:jc w:val="center"/>
        <w:outlineLvl w:val="0"/>
        <w:rPr>
          <w:b/>
          <w:sz w:val="39"/>
          <w:szCs w:val="39"/>
          <w:lang w:eastAsia="zh-CN"/>
        </w:rPr>
      </w:pPr>
      <w:r>
        <w:rPr>
          <w:rFonts w:hint="eastAsia"/>
          <w:b/>
          <w:spacing w:val="25"/>
          <w:sz w:val="39"/>
          <w:szCs w:val="39"/>
          <w:lang w:val="zh-CN" w:eastAsia="zh-CN"/>
        </w:rPr>
        <w:t>雪地轮胎产品</w:t>
      </w:r>
      <w:r>
        <w:rPr>
          <w:b/>
          <w:spacing w:val="25"/>
          <w:sz w:val="39"/>
          <w:szCs w:val="39"/>
          <w:lang w:eastAsia="zh-CN"/>
        </w:rPr>
        <w:t>碳足迹量化报告（模板）</w:t>
      </w:r>
    </w:p>
    <w:p>
      <w:pPr>
        <w:pStyle w:val="28"/>
        <w:spacing w:line="253" w:lineRule="auto"/>
        <w:rPr>
          <w:lang w:eastAsia="zh-CN"/>
        </w:rPr>
      </w:pPr>
    </w:p>
    <w:p>
      <w:pPr>
        <w:pStyle w:val="28"/>
        <w:spacing w:line="253" w:lineRule="auto"/>
        <w:rPr>
          <w:lang w:eastAsia="zh-CN"/>
        </w:rPr>
      </w:pPr>
    </w:p>
    <w:p>
      <w:pPr>
        <w:pStyle w:val="28"/>
        <w:spacing w:line="253" w:lineRule="auto"/>
        <w:rPr>
          <w:rFonts w:hint="eastAsia"/>
          <w:lang w:eastAsia="zh-CN"/>
        </w:rPr>
      </w:pPr>
    </w:p>
    <w:p>
      <w:pPr>
        <w:pStyle w:val="28"/>
        <w:spacing w:line="253" w:lineRule="auto"/>
        <w:rPr>
          <w:rFonts w:hint="eastAsia"/>
          <w:lang w:eastAsia="zh-CN"/>
        </w:rPr>
      </w:pPr>
    </w:p>
    <w:p>
      <w:pPr>
        <w:pStyle w:val="28"/>
        <w:spacing w:line="253" w:lineRule="auto"/>
        <w:rPr>
          <w:rFonts w:hint="eastAsia"/>
          <w:lang w:eastAsia="zh-CN"/>
        </w:rPr>
      </w:pPr>
    </w:p>
    <w:p>
      <w:pPr>
        <w:pStyle w:val="28"/>
        <w:spacing w:line="253" w:lineRule="auto"/>
        <w:rPr>
          <w:rFonts w:hint="eastAsia"/>
          <w:lang w:eastAsia="zh-CN"/>
        </w:rPr>
      </w:pPr>
    </w:p>
    <w:p>
      <w:pPr>
        <w:pStyle w:val="28"/>
        <w:spacing w:line="253" w:lineRule="auto"/>
        <w:rPr>
          <w:rFonts w:hint="eastAsia"/>
          <w:lang w:eastAsia="zh-CN"/>
        </w:rPr>
      </w:pPr>
    </w:p>
    <w:p>
      <w:pPr>
        <w:pStyle w:val="28"/>
        <w:spacing w:line="253" w:lineRule="auto"/>
        <w:rPr>
          <w:lang w:eastAsia="zh-CN"/>
        </w:rPr>
      </w:pPr>
    </w:p>
    <w:tbl>
      <w:tblPr>
        <w:tblStyle w:val="11"/>
        <w:tblpPr w:leftFromText="180" w:rightFromText="180" w:vertAnchor="text" w:horzAnchor="page" w:tblpX="3076" w:tblpY="32"/>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64"/>
        <w:gridCol w:w="30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64" w:type="dxa"/>
          </w:tcPr>
          <w:p>
            <w:pPr>
              <w:pStyle w:val="28"/>
              <w:spacing w:line="253" w:lineRule="auto"/>
              <w:jc w:val="distribute"/>
              <w:rPr>
                <w:bCs/>
                <w:sz w:val="24"/>
                <w:szCs w:val="24"/>
              </w:rPr>
            </w:pPr>
            <w:r>
              <w:rPr>
                <w:bCs/>
                <w:sz w:val="24"/>
                <w:szCs w:val="24"/>
              </w:rPr>
              <w:t>产品名称：</w:t>
            </w:r>
          </w:p>
        </w:tc>
        <w:tc>
          <w:tcPr>
            <w:tcW w:w="3088" w:type="dxa"/>
            <w:tcBorders>
              <w:bottom w:val="single" w:color="auto" w:sz="4" w:space="0"/>
            </w:tcBorders>
          </w:tcPr>
          <w:p>
            <w:pPr>
              <w:pStyle w:val="28"/>
              <w:spacing w:line="253" w:lineRule="auto"/>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64" w:type="dxa"/>
          </w:tcPr>
          <w:p>
            <w:pPr>
              <w:pStyle w:val="28"/>
              <w:spacing w:line="253" w:lineRule="auto"/>
              <w:jc w:val="distribute"/>
              <w:rPr>
                <w:bCs/>
                <w:sz w:val="24"/>
                <w:szCs w:val="24"/>
              </w:rPr>
            </w:pPr>
            <w:r>
              <w:rPr>
                <w:rFonts w:hint="eastAsia"/>
                <w:bCs/>
                <w:sz w:val="24"/>
                <w:szCs w:val="24"/>
              </w:rPr>
              <w:t>产品规格型号</w:t>
            </w:r>
            <w:r>
              <w:rPr>
                <w:bCs/>
                <w:sz w:val="24"/>
                <w:szCs w:val="24"/>
              </w:rPr>
              <w:t>：</w:t>
            </w:r>
          </w:p>
        </w:tc>
        <w:tc>
          <w:tcPr>
            <w:tcW w:w="3088" w:type="dxa"/>
            <w:tcBorders>
              <w:top w:val="single" w:color="auto" w:sz="4" w:space="0"/>
              <w:bottom w:val="single" w:color="auto" w:sz="4" w:space="0"/>
            </w:tcBorders>
          </w:tcPr>
          <w:p>
            <w:pPr>
              <w:pStyle w:val="28"/>
              <w:spacing w:line="253" w:lineRule="auto"/>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64" w:type="dxa"/>
          </w:tcPr>
          <w:p>
            <w:pPr>
              <w:pStyle w:val="28"/>
              <w:spacing w:line="253" w:lineRule="auto"/>
              <w:jc w:val="distribute"/>
              <w:rPr>
                <w:bCs/>
                <w:sz w:val="24"/>
                <w:szCs w:val="24"/>
              </w:rPr>
            </w:pPr>
            <w:r>
              <w:rPr>
                <w:bCs/>
                <w:sz w:val="24"/>
                <w:szCs w:val="24"/>
              </w:rPr>
              <w:t>生产者名称：</w:t>
            </w:r>
          </w:p>
        </w:tc>
        <w:tc>
          <w:tcPr>
            <w:tcW w:w="3088" w:type="dxa"/>
            <w:tcBorders>
              <w:top w:val="single" w:color="auto" w:sz="4" w:space="0"/>
              <w:bottom w:val="single" w:color="auto" w:sz="4" w:space="0"/>
            </w:tcBorders>
          </w:tcPr>
          <w:p>
            <w:pPr>
              <w:pStyle w:val="28"/>
              <w:spacing w:line="253" w:lineRule="auto"/>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064" w:type="dxa"/>
          </w:tcPr>
          <w:p>
            <w:pPr>
              <w:pStyle w:val="28"/>
              <w:spacing w:line="253" w:lineRule="auto"/>
              <w:jc w:val="distribute"/>
              <w:rPr>
                <w:bCs/>
                <w:sz w:val="24"/>
                <w:szCs w:val="24"/>
              </w:rPr>
            </w:pPr>
            <w:r>
              <w:rPr>
                <w:bCs/>
                <w:sz w:val="24"/>
                <w:szCs w:val="24"/>
              </w:rPr>
              <w:t>报告编号：</w:t>
            </w:r>
          </w:p>
        </w:tc>
        <w:tc>
          <w:tcPr>
            <w:tcW w:w="3088" w:type="dxa"/>
            <w:tcBorders>
              <w:top w:val="single" w:color="auto" w:sz="4" w:space="0"/>
              <w:bottom w:val="single" w:color="auto" w:sz="4" w:space="0"/>
            </w:tcBorders>
          </w:tcPr>
          <w:p>
            <w:pPr>
              <w:pStyle w:val="28"/>
              <w:spacing w:line="253" w:lineRule="auto"/>
            </w:pPr>
          </w:p>
        </w:tc>
      </w:tr>
    </w:tbl>
    <w:p>
      <w:pPr>
        <w:pStyle w:val="28"/>
        <w:spacing w:line="253" w:lineRule="auto"/>
      </w:pPr>
    </w:p>
    <w:p>
      <w:pPr>
        <w:pStyle w:val="28"/>
        <w:spacing w:line="253" w:lineRule="auto"/>
      </w:pPr>
      <w:r>
        <w:rPr>
          <w:rFonts w:hint="eastAsia"/>
        </w:rPr>
        <w:t>　　　　　　　　　　　　　　　　</w:t>
      </w:r>
    </w:p>
    <w:p>
      <w:pPr>
        <w:pStyle w:val="28"/>
        <w:spacing w:line="253" w:lineRule="auto"/>
      </w:pPr>
    </w:p>
    <w:tbl>
      <w:tblPr>
        <w:tblStyle w:val="11"/>
        <w:tblpPr w:leftFromText="180" w:rightFromText="180" w:vertAnchor="text" w:horzAnchor="page" w:tblpX="5538" w:tblpY="4172"/>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337" w:type="dxa"/>
          </w:tcPr>
          <w:p>
            <w:pPr>
              <w:pStyle w:val="28"/>
              <w:spacing w:line="253" w:lineRule="auto"/>
              <w:rPr>
                <w:lang w:eastAsia="zh-CN"/>
              </w:rPr>
            </w:pPr>
            <w:bookmarkStart w:id="46" w:name="_Toc23957"/>
            <w:bookmarkStart w:id="47" w:name="_Toc7791"/>
            <w:bookmarkStart w:id="48" w:name="_Toc28678"/>
            <w:r>
              <w:rPr>
                <w:rFonts w:hint="eastAsia"/>
                <w:lang w:eastAsia="zh-CN"/>
              </w:rPr>
              <w:t>报 告 编 号：　　　　　　　　　　　　　　　　</w:t>
            </w:r>
          </w:p>
          <w:p>
            <w:pPr>
              <w:pStyle w:val="28"/>
              <w:spacing w:line="253" w:lineRule="auto"/>
              <w:rPr>
                <w:lang w:eastAsia="zh-CN"/>
              </w:rPr>
            </w:pPr>
            <w:r>
              <w:rPr>
                <w:rFonts w:hint="eastAsia"/>
                <w:lang w:eastAsia="zh-CN"/>
              </w:rPr>
              <w:t>出具报告机构：（若有）　　　　　　　　（盖章）</w:t>
            </w:r>
          </w:p>
          <w:p>
            <w:pPr>
              <w:pStyle w:val="28"/>
              <w:spacing w:line="253" w:lineRule="auto"/>
            </w:pPr>
            <w:r>
              <w:rPr>
                <w:rFonts w:hint="eastAsia"/>
              </w:rPr>
              <w:t>日期：　　　　 年　　 月　　日</w:t>
            </w:r>
          </w:p>
        </w:tc>
      </w:tr>
    </w:tbl>
    <w:p>
      <w:pPr>
        <w:rPr>
          <w:rFonts w:ascii="黑体" w:hAnsi="黑体" w:eastAsia="黑体" w:cs="黑体"/>
          <w:spacing w:val="-3"/>
          <w:szCs w:val="21"/>
        </w:rPr>
      </w:pPr>
      <w:r>
        <w:rPr>
          <w:rFonts w:ascii="黑体" w:hAnsi="黑体" w:eastAsia="黑体" w:cs="黑体"/>
          <w:spacing w:val="-3"/>
          <w:szCs w:val="21"/>
        </w:rPr>
        <w:br w:type="page"/>
      </w:r>
    </w:p>
    <w:p>
      <w:pPr>
        <w:spacing w:before="68"/>
        <w:outlineLvl w:val="0"/>
        <w:rPr>
          <w:rFonts w:ascii="黑体" w:hAnsi="黑体" w:eastAsia="黑体" w:cs="黑体"/>
          <w:spacing w:val="-3"/>
          <w:szCs w:val="21"/>
        </w:rPr>
      </w:pPr>
      <w:r>
        <w:rPr>
          <w:sz w:val="39"/>
        </w:rPr>
        <mc:AlternateContent>
          <mc:Choice Requires="wps">
            <w:drawing>
              <wp:anchor distT="0" distB="0" distL="114300" distR="114300" simplePos="0" relativeHeight="251682816" behindDoc="0" locked="0" layoutInCell="1" allowOverlap="1">
                <wp:simplePos x="0" y="0"/>
                <wp:positionH relativeFrom="column">
                  <wp:posOffset>-64135</wp:posOffset>
                </wp:positionH>
                <wp:positionV relativeFrom="paragraph">
                  <wp:posOffset>123825</wp:posOffset>
                </wp:positionV>
                <wp:extent cx="6181090" cy="8982075"/>
                <wp:effectExtent l="0" t="0" r="10160" b="28575"/>
                <wp:wrapNone/>
                <wp:docPr id="11" name="矩形 11"/>
                <wp:cNvGraphicFramePr/>
                <a:graphic xmlns:a="http://schemas.openxmlformats.org/drawingml/2006/main">
                  <a:graphicData uri="http://schemas.microsoft.com/office/word/2010/wordprocessingShape">
                    <wps:wsp>
                      <wps:cNvSpPr/>
                      <wps:spPr>
                        <a:xfrm>
                          <a:off x="0" y="0"/>
                          <a:ext cx="6181090" cy="89820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5.05pt;margin-top:9.75pt;height:707.25pt;width:486.7pt;z-index:251682816;v-text-anchor:middle;mso-width-relative:page;mso-height-relative:page;" filled="f" stroked="t" coordsize="21600,21600" o:gfxdata="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32Q+gNkAAAALAQAADwAAAAAAAAABACAAAAA4AAAAZHJzL2Rvd25yZXYueG1s&#10;UEsBAhQAFAAAAAgAh07iQKDjTvxTAgAAjwQAAA4AAAAAAAAAAQAgAAAAPgEAAGRycy9lMm9Eb2Mu&#10;eG1sUEsFBgAAAAAGAAYAWQEAAAMGAAAAAA==&#10;">
                <v:fill on="f" focussize="0,0"/>
                <v:stroke weight="1pt" color="#000000 [3213]" miterlimit="8" joinstyle="miter"/>
                <v:imagedata o:title=""/>
                <o:lock v:ext="edit" aspectratio="f"/>
              </v:rect>
            </w:pict>
          </mc:Fallback>
        </mc:AlternateContent>
      </w:r>
    </w:p>
    <w:p>
      <w:pPr>
        <w:spacing w:before="68"/>
        <w:ind w:left="4"/>
        <w:outlineLvl w:val="0"/>
        <w:rPr>
          <w:rFonts w:ascii="黑体" w:hAnsi="黑体" w:eastAsia="黑体" w:cs="黑体"/>
          <w:szCs w:val="21"/>
        </w:rPr>
      </w:pPr>
      <w:r>
        <w:rPr>
          <w:rFonts w:ascii="黑体" w:hAnsi="黑体" w:eastAsia="黑体" w:cs="黑体"/>
          <w:spacing w:val="-3"/>
          <w:szCs w:val="21"/>
        </w:rPr>
        <w:t>C.1</w:t>
      </w:r>
      <w:r>
        <w:rPr>
          <w:rFonts w:ascii="黑体" w:hAnsi="黑体" w:eastAsia="黑体" w:cs="黑体"/>
          <w:spacing w:val="10"/>
          <w:szCs w:val="21"/>
        </w:rPr>
        <w:t xml:space="preserve"> </w:t>
      </w:r>
      <w:r>
        <w:rPr>
          <w:rFonts w:ascii="黑体" w:hAnsi="黑体" w:eastAsia="黑体" w:cs="黑体"/>
          <w:spacing w:val="-3"/>
          <w:szCs w:val="21"/>
        </w:rPr>
        <w:t>概况</w:t>
      </w:r>
      <w:bookmarkEnd w:id="46"/>
      <w:bookmarkEnd w:id="47"/>
      <w:bookmarkEnd w:id="48"/>
    </w:p>
    <w:p>
      <w:pPr>
        <w:pStyle w:val="3"/>
        <w:rPr>
          <w:lang w:eastAsia="zh-CN"/>
        </w:rPr>
      </w:pPr>
    </w:p>
    <w:p>
      <w:pPr>
        <w:spacing w:before="68"/>
        <w:ind w:left="4"/>
        <w:outlineLvl w:val="0"/>
        <w:rPr>
          <w:rFonts w:ascii="黑体" w:hAnsi="黑体" w:eastAsia="黑体" w:cs="黑体"/>
          <w:szCs w:val="21"/>
        </w:rPr>
      </w:pPr>
      <w:bookmarkStart w:id="49" w:name="_Toc28817"/>
      <w:bookmarkStart w:id="50" w:name="_Toc9868"/>
      <w:bookmarkStart w:id="51" w:name="_Toc15770"/>
      <w:r>
        <w:rPr>
          <w:rFonts w:ascii="黑体" w:hAnsi="黑体" w:eastAsia="黑体" w:cs="黑体"/>
          <w:spacing w:val="-1"/>
          <w:szCs w:val="21"/>
        </w:rPr>
        <w:t>C.1.1 生产者信息</w:t>
      </w:r>
      <w:bookmarkEnd w:id="49"/>
      <w:bookmarkEnd w:id="50"/>
      <w:bookmarkEnd w:id="51"/>
    </w:p>
    <w:p>
      <w:pPr>
        <w:spacing w:before="28"/>
        <w:ind w:left="424"/>
        <w:rPr>
          <w:rFonts w:ascii="宋体" w:hAnsi="宋体" w:eastAsia="宋体" w:cs="宋体"/>
          <w:spacing w:val="-1"/>
          <w:szCs w:val="21"/>
        </w:rPr>
      </w:pPr>
      <w:r>
        <w:rPr>
          <w:rFonts w:ascii="宋体" w:hAnsi="宋体" w:eastAsia="宋体" w:cs="宋体"/>
          <w:spacing w:val="-1"/>
          <w:szCs w:val="21"/>
        </w:rPr>
        <w:t xml:space="preserve">雪地轮胎产品生产者名称； </w:t>
      </w:r>
    </w:p>
    <w:p>
      <w:pPr>
        <w:spacing w:before="28"/>
        <w:ind w:left="424"/>
        <w:rPr>
          <w:rFonts w:ascii="宋体" w:hAnsi="宋体" w:eastAsia="宋体" w:cs="宋体"/>
          <w:spacing w:val="-1"/>
          <w:szCs w:val="21"/>
        </w:rPr>
      </w:pPr>
      <w:r>
        <w:rPr>
          <w:rFonts w:ascii="宋体" w:hAnsi="宋体" w:eastAsia="宋体" w:cs="宋体"/>
          <w:spacing w:val="-1"/>
          <w:szCs w:val="21"/>
        </w:rPr>
        <w:t>地址；</w:t>
      </w:r>
    </w:p>
    <w:p>
      <w:pPr>
        <w:spacing w:before="28"/>
        <w:ind w:left="424"/>
        <w:rPr>
          <w:rFonts w:ascii="宋体" w:hAnsi="宋体" w:eastAsia="宋体" w:cs="宋体"/>
          <w:spacing w:val="-1"/>
          <w:szCs w:val="21"/>
        </w:rPr>
      </w:pPr>
      <w:r>
        <w:rPr>
          <w:rFonts w:ascii="宋体" w:hAnsi="宋体" w:eastAsia="宋体" w:cs="宋体"/>
          <w:spacing w:val="-1"/>
          <w:szCs w:val="21"/>
        </w:rPr>
        <w:t>法定代表人；</w:t>
      </w:r>
    </w:p>
    <w:p>
      <w:pPr>
        <w:spacing w:before="28"/>
        <w:ind w:left="424"/>
        <w:rPr>
          <w:rFonts w:ascii="宋体" w:hAnsi="宋体" w:eastAsia="宋体" w:cs="宋体"/>
          <w:spacing w:val="-1"/>
          <w:szCs w:val="21"/>
        </w:rPr>
      </w:pPr>
      <w:r>
        <w:rPr>
          <w:rFonts w:ascii="宋体" w:hAnsi="宋体" w:eastAsia="宋体" w:cs="宋体"/>
          <w:spacing w:val="-1"/>
          <w:szCs w:val="21"/>
        </w:rPr>
        <w:t xml:space="preserve">授权人（联系人）； </w:t>
      </w:r>
    </w:p>
    <w:p>
      <w:pPr>
        <w:spacing w:before="28"/>
        <w:ind w:left="424"/>
        <w:rPr>
          <w:rFonts w:ascii="宋体" w:hAnsi="宋体" w:eastAsia="宋体" w:cs="宋体"/>
          <w:spacing w:val="-1"/>
          <w:szCs w:val="21"/>
        </w:rPr>
      </w:pPr>
      <w:r>
        <w:rPr>
          <w:rFonts w:ascii="宋体" w:hAnsi="宋体" w:eastAsia="宋体" w:cs="宋体"/>
          <w:spacing w:val="-1"/>
          <w:szCs w:val="21"/>
        </w:rPr>
        <w:t>联系电话；</w:t>
      </w:r>
    </w:p>
    <w:p>
      <w:pPr>
        <w:spacing w:before="28"/>
        <w:ind w:left="424"/>
        <w:rPr>
          <w:rFonts w:ascii="宋体" w:hAnsi="宋体" w:eastAsia="宋体" w:cs="宋体"/>
          <w:spacing w:val="-1"/>
          <w:szCs w:val="21"/>
        </w:rPr>
      </w:pPr>
      <w:r>
        <w:rPr>
          <w:rFonts w:ascii="宋体" w:hAnsi="宋体" w:eastAsia="宋体" w:cs="宋体"/>
          <w:spacing w:val="-1"/>
          <w:szCs w:val="21"/>
        </w:rPr>
        <w:t>企业概况。</w:t>
      </w:r>
    </w:p>
    <w:p>
      <w:pPr>
        <w:spacing w:before="217"/>
        <w:ind w:left="4"/>
        <w:outlineLvl w:val="0"/>
        <w:rPr>
          <w:rFonts w:ascii="黑体" w:hAnsi="黑体" w:eastAsia="黑体" w:cs="黑体"/>
          <w:szCs w:val="21"/>
        </w:rPr>
      </w:pPr>
      <w:bookmarkStart w:id="52" w:name="_Toc22179"/>
      <w:bookmarkStart w:id="53" w:name="_Toc30946"/>
      <w:bookmarkStart w:id="54" w:name="_Toc7799"/>
      <w:r>
        <w:rPr>
          <w:rFonts w:ascii="黑体" w:hAnsi="黑体" w:eastAsia="黑体" w:cs="黑体"/>
          <w:spacing w:val="-1"/>
          <w:szCs w:val="21"/>
        </w:rPr>
        <w:t>C.1.2 雪地轮胎产品信息</w:t>
      </w:r>
      <w:bookmarkEnd w:id="52"/>
      <w:bookmarkEnd w:id="53"/>
      <w:bookmarkEnd w:id="54"/>
    </w:p>
    <w:p>
      <w:pPr>
        <w:spacing w:before="28"/>
        <w:ind w:left="424"/>
        <w:rPr>
          <w:rFonts w:ascii="宋体" w:hAnsi="宋体" w:eastAsia="宋体" w:cs="宋体"/>
          <w:spacing w:val="-1"/>
          <w:szCs w:val="21"/>
        </w:rPr>
      </w:pPr>
      <w:r>
        <w:rPr>
          <w:rFonts w:ascii="宋体" w:hAnsi="宋体" w:eastAsia="宋体" w:cs="宋体"/>
          <w:spacing w:val="-1"/>
          <w:szCs w:val="21"/>
        </w:rPr>
        <w:t>产品名称；</w:t>
      </w:r>
    </w:p>
    <w:p>
      <w:pPr>
        <w:spacing w:before="28"/>
        <w:ind w:left="424"/>
        <w:rPr>
          <w:rFonts w:ascii="宋体" w:hAnsi="宋体" w:eastAsia="宋体" w:cs="宋体"/>
          <w:spacing w:val="-1"/>
          <w:szCs w:val="21"/>
        </w:rPr>
      </w:pPr>
      <w:r>
        <w:rPr>
          <w:rFonts w:ascii="宋体" w:hAnsi="宋体" w:eastAsia="宋体" w:cs="宋体"/>
          <w:spacing w:val="-1"/>
          <w:szCs w:val="21"/>
        </w:rPr>
        <w:t>产品规格；</w:t>
      </w:r>
    </w:p>
    <w:p>
      <w:pPr>
        <w:spacing w:before="28"/>
        <w:ind w:left="424"/>
        <w:rPr>
          <w:rFonts w:ascii="宋体" w:hAnsi="宋体" w:eastAsia="宋体" w:cs="宋体"/>
          <w:spacing w:val="-1"/>
          <w:szCs w:val="21"/>
        </w:rPr>
      </w:pPr>
      <w:r>
        <w:rPr>
          <w:rFonts w:ascii="宋体" w:hAnsi="宋体" w:eastAsia="宋体" w:cs="宋体"/>
          <w:spacing w:val="-1"/>
          <w:szCs w:val="21"/>
        </w:rPr>
        <w:t>负荷指数或层级；</w:t>
      </w:r>
    </w:p>
    <w:p>
      <w:pPr>
        <w:spacing w:before="28"/>
        <w:ind w:left="424"/>
        <w:rPr>
          <w:rFonts w:ascii="宋体" w:hAnsi="宋体" w:eastAsia="宋体" w:cs="宋体"/>
          <w:spacing w:val="-1"/>
          <w:szCs w:val="21"/>
        </w:rPr>
      </w:pPr>
      <w:r>
        <w:rPr>
          <w:rFonts w:ascii="宋体" w:hAnsi="宋体" w:eastAsia="宋体" w:cs="宋体"/>
          <w:spacing w:val="-1"/>
          <w:szCs w:val="21"/>
        </w:rPr>
        <w:t xml:space="preserve">速度符号； </w:t>
      </w:r>
    </w:p>
    <w:p>
      <w:pPr>
        <w:spacing w:before="28"/>
        <w:ind w:left="424"/>
        <w:rPr>
          <w:rFonts w:ascii="宋体" w:hAnsi="宋体" w:eastAsia="宋体" w:cs="宋体"/>
          <w:spacing w:val="-1"/>
          <w:szCs w:val="21"/>
        </w:rPr>
      </w:pPr>
      <w:r>
        <w:rPr>
          <w:rFonts w:ascii="宋体" w:hAnsi="宋体" w:eastAsia="宋体" w:cs="宋体"/>
          <w:spacing w:val="-1"/>
          <w:szCs w:val="21"/>
        </w:rPr>
        <w:t>花纹代号；</w:t>
      </w:r>
    </w:p>
    <w:p>
      <w:pPr>
        <w:spacing w:before="28"/>
        <w:ind w:left="424"/>
        <w:rPr>
          <w:rFonts w:ascii="宋体" w:hAnsi="宋体" w:eastAsia="宋体" w:cs="宋体"/>
          <w:spacing w:val="-1"/>
          <w:szCs w:val="21"/>
        </w:rPr>
      </w:pPr>
      <w:r>
        <w:rPr>
          <w:rFonts w:ascii="宋体" w:hAnsi="宋体" w:eastAsia="宋体" w:cs="宋体"/>
          <w:spacing w:val="-1"/>
          <w:szCs w:val="21"/>
        </w:rPr>
        <w:t>产品</w:t>
      </w:r>
      <w:r>
        <w:rPr>
          <w:rFonts w:hint="eastAsia" w:ascii="宋体" w:hAnsi="宋体" w:eastAsia="宋体" w:cs="宋体"/>
          <w:spacing w:val="-1"/>
          <w:szCs w:val="21"/>
        </w:rPr>
        <w:t>质保期</w:t>
      </w:r>
      <w:r>
        <w:rPr>
          <w:rFonts w:ascii="宋体" w:hAnsi="宋体" w:eastAsia="宋体" w:cs="宋体"/>
          <w:spacing w:val="-1"/>
          <w:szCs w:val="21"/>
        </w:rPr>
        <w:t>/里程</w:t>
      </w:r>
      <w:r>
        <w:rPr>
          <w:rFonts w:hint="eastAsia" w:ascii="宋体" w:hAnsi="宋体" w:eastAsia="宋体" w:cs="宋体"/>
          <w:spacing w:val="-1"/>
          <w:szCs w:val="21"/>
        </w:rPr>
        <w:t>。</w:t>
      </w:r>
    </w:p>
    <w:p>
      <w:pPr>
        <w:spacing w:before="167"/>
        <w:ind w:left="4"/>
        <w:outlineLvl w:val="0"/>
        <w:rPr>
          <w:rFonts w:ascii="黑体" w:hAnsi="黑体" w:eastAsia="黑体" w:cs="黑体"/>
          <w:szCs w:val="21"/>
        </w:rPr>
      </w:pPr>
      <w:bookmarkStart w:id="55" w:name="_Toc26703"/>
      <w:bookmarkStart w:id="56" w:name="_Toc21513"/>
      <w:bookmarkStart w:id="57" w:name="_Toc1097"/>
      <w:r>
        <w:rPr>
          <w:rFonts w:ascii="黑体" w:hAnsi="黑体" w:eastAsia="黑体" w:cs="黑体"/>
          <w:spacing w:val="-1"/>
          <w:szCs w:val="21"/>
        </w:rPr>
        <w:t>C.1.3 量化方法</w:t>
      </w:r>
      <w:bookmarkEnd w:id="55"/>
      <w:bookmarkEnd w:id="56"/>
      <w:bookmarkEnd w:id="57"/>
    </w:p>
    <w:p>
      <w:pPr>
        <w:spacing w:before="28"/>
        <w:ind w:left="424"/>
        <w:rPr>
          <w:rFonts w:ascii="宋体" w:hAnsi="宋体" w:eastAsia="宋体" w:cs="宋体"/>
          <w:spacing w:val="-1"/>
          <w:szCs w:val="21"/>
        </w:rPr>
      </w:pPr>
      <w:r>
        <w:rPr>
          <w:rFonts w:ascii="宋体" w:hAnsi="宋体" w:eastAsia="宋体" w:cs="宋体"/>
          <w:spacing w:val="-1"/>
          <w:szCs w:val="21"/>
        </w:rPr>
        <w:t>依据标准。</w:t>
      </w:r>
    </w:p>
    <w:p>
      <w:pPr>
        <w:spacing w:before="28"/>
        <w:ind w:left="424"/>
        <w:rPr>
          <w:rFonts w:ascii="宋体" w:hAnsi="宋体" w:eastAsia="宋体" w:cs="宋体"/>
          <w:spacing w:val="-1"/>
          <w:szCs w:val="21"/>
        </w:rPr>
      </w:pPr>
    </w:p>
    <w:p>
      <w:pPr>
        <w:spacing w:before="68"/>
        <w:ind w:left="4"/>
        <w:outlineLvl w:val="0"/>
        <w:rPr>
          <w:rFonts w:ascii="黑体" w:hAnsi="黑体" w:eastAsia="黑体" w:cs="黑体"/>
          <w:szCs w:val="21"/>
        </w:rPr>
      </w:pPr>
      <w:bookmarkStart w:id="58" w:name="_Toc23640"/>
      <w:bookmarkStart w:id="59" w:name="_Toc18949"/>
      <w:bookmarkStart w:id="60" w:name="_Toc15884"/>
      <w:r>
        <w:rPr>
          <w:rFonts w:ascii="黑体" w:hAnsi="黑体" w:eastAsia="黑体" w:cs="黑体"/>
          <w:spacing w:val="-3"/>
          <w:szCs w:val="21"/>
        </w:rPr>
        <w:t>C.2</w:t>
      </w:r>
      <w:r>
        <w:rPr>
          <w:rFonts w:ascii="黑体" w:hAnsi="黑体" w:eastAsia="黑体" w:cs="黑体"/>
          <w:spacing w:val="13"/>
          <w:szCs w:val="21"/>
        </w:rPr>
        <w:t xml:space="preserve"> 量化</w:t>
      </w:r>
      <w:r>
        <w:rPr>
          <w:rFonts w:ascii="黑体" w:hAnsi="黑体" w:eastAsia="黑体" w:cs="黑体"/>
          <w:spacing w:val="-3"/>
          <w:szCs w:val="21"/>
        </w:rPr>
        <w:t>目的</w:t>
      </w:r>
      <w:bookmarkEnd w:id="58"/>
      <w:bookmarkEnd w:id="59"/>
      <w:bookmarkEnd w:id="60"/>
    </w:p>
    <w:p>
      <w:pPr>
        <w:pStyle w:val="3"/>
        <w:rPr>
          <w:lang w:eastAsia="zh-CN"/>
        </w:rPr>
      </w:pPr>
    </w:p>
    <w:p>
      <w:pPr>
        <w:spacing w:before="69"/>
        <w:ind w:left="4"/>
        <w:outlineLvl w:val="0"/>
        <w:rPr>
          <w:rFonts w:ascii="黑体" w:hAnsi="黑体" w:eastAsia="黑体" w:cs="黑体"/>
          <w:szCs w:val="21"/>
        </w:rPr>
      </w:pPr>
      <w:bookmarkStart w:id="61" w:name="_Toc8677"/>
      <w:bookmarkStart w:id="62" w:name="_Toc26367"/>
      <w:bookmarkStart w:id="63" w:name="_Toc30676"/>
      <w:r>
        <w:rPr>
          <w:rFonts w:ascii="黑体" w:hAnsi="黑体" w:eastAsia="黑体" w:cs="黑体"/>
          <w:spacing w:val="-3"/>
          <w:szCs w:val="21"/>
        </w:rPr>
        <w:t>C.3</w:t>
      </w:r>
      <w:r>
        <w:rPr>
          <w:rFonts w:ascii="黑体" w:hAnsi="黑体" w:eastAsia="黑体" w:cs="黑体"/>
          <w:spacing w:val="13"/>
          <w:szCs w:val="21"/>
        </w:rPr>
        <w:t xml:space="preserve"> 量化</w:t>
      </w:r>
      <w:r>
        <w:rPr>
          <w:rFonts w:ascii="黑体" w:hAnsi="黑体" w:eastAsia="黑体" w:cs="黑体"/>
          <w:spacing w:val="-3"/>
          <w:szCs w:val="21"/>
        </w:rPr>
        <w:t>范围</w:t>
      </w:r>
      <w:bookmarkEnd w:id="61"/>
      <w:bookmarkEnd w:id="62"/>
      <w:bookmarkEnd w:id="63"/>
    </w:p>
    <w:p>
      <w:pPr>
        <w:pStyle w:val="3"/>
        <w:rPr>
          <w:lang w:eastAsia="zh-CN"/>
        </w:rPr>
      </w:pPr>
    </w:p>
    <w:p>
      <w:pPr>
        <w:spacing w:before="68"/>
        <w:ind w:left="4"/>
        <w:outlineLvl w:val="0"/>
        <w:rPr>
          <w:rFonts w:ascii="黑体" w:hAnsi="黑体" w:eastAsia="黑体" w:cs="黑体"/>
          <w:szCs w:val="21"/>
        </w:rPr>
      </w:pPr>
      <w:bookmarkStart w:id="64" w:name="_Toc18359"/>
      <w:bookmarkStart w:id="65" w:name="_Toc13051"/>
      <w:bookmarkStart w:id="66" w:name="_Toc18869"/>
      <w:r>
        <w:rPr>
          <w:rFonts w:ascii="黑体" w:hAnsi="黑体" w:eastAsia="黑体" w:cs="黑体"/>
          <w:spacing w:val="-1"/>
          <w:szCs w:val="21"/>
        </w:rPr>
        <w:t>C.3.1 功能单位或声明单位</w:t>
      </w:r>
      <w:bookmarkEnd w:id="64"/>
      <w:bookmarkEnd w:id="65"/>
      <w:bookmarkEnd w:id="66"/>
    </w:p>
    <w:p>
      <w:pPr>
        <w:spacing w:before="28"/>
        <w:ind w:left="424"/>
        <w:rPr>
          <w:rFonts w:ascii="宋体" w:hAnsi="宋体" w:eastAsia="宋体" w:cs="宋体"/>
          <w:spacing w:val="-1"/>
          <w:szCs w:val="21"/>
        </w:rPr>
      </w:pPr>
      <w:r>
        <w:rPr>
          <w:rFonts w:ascii="宋体" w:hAnsi="宋体" w:eastAsia="宋体" w:cs="宋体"/>
          <w:spacing w:val="-1"/>
          <w:szCs w:val="21"/>
        </w:rPr>
        <w:t>以</w:t>
      </w:r>
      <w:r>
        <w:rPr>
          <w:rFonts w:hint="eastAsia" w:ascii="宋体" w:hAnsi="宋体" w:eastAsia="宋体" w:cs="宋体"/>
          <w:spacing w:val="-1"/>
          <w:szCs w:val="21"/>
          <w:u w:val="single"/>
        </w:rPr>
        <w:t xml:space="preserve">                              </w:t>
      </w:r>
      <w:r>
        <w:rPr>
          <w:rFonts w:ascii="宋体" w:hAnsi="宋体" w:eastAsia="宋体" w:cs="宋体"/>
          <w:spacing w:val="-1"/>
          <w:szCs w:val="21"/>
        </w:rPr>
        <w:t>为功能单位或声明单位。</w:t>
      </w:r>
    </w:p>
    <w:p>
      <w:pPr>
        <w:spacing w:before="220"/>
        <w:ind w:left="4"/>
        <w:outlineLvl w:val="0"/>
        <w:rPr>
          <w:rFonts w:ascii="黑体" w:hAnsi="黑体" w:eastAsia="黑体" w:cs="黑体"/>
          <w:szCs w:val="21"/>
        </w:rPr>
      </w:pPr>
      <w:bookmarkStart w:id="67" w:name="_Toc14799"/>
      <w:bookmarkStart w:id="68" w:name="_Toc29259"/>
      <w:bookmarkStart w:id="69" w:name="_Toc13501"/>
      <w:r>
        <w:rPr>
          <w:rFonts w:ascii="黑体" w:hAnsi="黑体" w:eastAsia="黑体" w:cs="黑体"/>
          <w:spacing w:val="-1"/>
          <w:szCs w:val="21"/>
        </w:rPr>
        <w:t>C.3.2 系统边界</w:t>
      </w:r>
      <w:bookmarkEnd w:id="67"/>
      <w:bookmarkEnd w:id="68"/>
      <w:bookmarkEnd w:id="69"/>
    </w:p>
    <w:p>
      <w:pPr>
        <w:spacing w:before="250"/>
        <w:rPr>
          <w:rFonts w:ascii="黑体" w:hAnsi="黑体" w:eastAsia="黑体" w:cs="宋体"/>
          <w:szCs w:val="21"/>
        </w:rPr>
      </w:pPr>
      <w:r>
        <w:rPr>
          <w:rFonts w:ascii="黑体" w:hAnsi="黑体" w:eastAsia="黑体" w:cs="宋体"/>
          <w:spacing w:val="-1"/>
          <w:szCs w:val="21"/>
        </w:rPr>
        <w:t>C.3.2.1</w:t>
      </w:r>
    </w:p>
    <w:p>
      <w:pPr>
        <w:spacing w:before="28"/>
        <w:ind w:left="424"/>
        <w:rPr>
          <w:rFonts w:ascii="宋体" w:hAnsi="宋体" w:eastAsia="宋体" w:cs="宋体"/>
          <w:spacing w:val="-1"/>
          <w:szCs w:val="21"/>
        </w:rPr>
      </w:pPr>
      <w:r>
        <w:rPr>
          <w:rFonts w:ascii="宋体" w:hAnsi="宋体" w:eastAsia="宋体" w:cs="宋体"/>
          <w:spacing w:val="-1"/>
          <w:szCs w:val="21"/>
        </w:rPr>
        <w:t>□产品碳足迹：包含材料的获取、雪地轮胎产品的生产、</w:t>
      </w:r>
      <w:r>
        <w:rPr>
          <w:rFonts w:hint="eastAsia" w:ascii="宋体" w:hAnsi="宋体" w:eastAsia="宋体" w:cs="宋体"/>
          <w:spacing w:val="-1"/>
          <w:szCs w:val="21"/>
        </w:rPr>
        <w:t>分销</w:t>
      </w:r>
      <w:r>
        <w:rPr>
          <w:rFonts w:ascii="宋体" w:hAnsi="宋体" w:eastAsia="宋体" w:cs="宋体"/>
          <w:spacing w:val="-1"/>
          <w:szCs w:val="21"/>
        </w:rPr>
        <w:t>、使用和</w:t>
      </w:r>
      <w:r>
        <w:rPr>
          <w:rFonts w:hint="eastAsia" w:ascii="宋体" w:hAnsi="宋体" w:eastAsia="宋体" w:cs="宋体"/>
          <w:spacing w:val="-1"/>
          <w:szCs w:val="21"/>
        </w:rPr>
        <w:t>废弃处理过程</w:t>
      </w:r>
    </w:p>
    <w:p>
      <w:pPr>
        <w:spacing w:before="28"/>
        <w:ind w:left="424"/>
        <w:rPr>
          <w:rFonts w:ascii="宋体" w:hAnsi="宋体" w:eastAsia="宋体" w:cs="宋体"/>
          <w:spacing w:val="-1"/>
          <w:szCs w:val="21"/>
        </w:rPr>
      </w:pPr>
      <w:r>
        <w:rPr>
          <w:rFonts w:ascii="宋体" w:hAnsi="宋体" w:eastAsia="宋体" w:cs="宋体"/>
          <w:spacing w:val="-1"/>
          <w:szCs w:val="21"/>
        </w:rPr>
        <w:t>□部分产品碳足迹：包含□材料获取阶段□雪地轮胎产品生产阶段□雪地轮胎产品使用阶段□雪地轮胎产品</w:t>
      </w:r>
      <w:r>
        <w:rPr>
          <w:rFonts w:hint="eastAsia" w:ascii="宋体" w:hAnsi="宋体" w:eastAsia="宋体" w:cs="宋体"/>
          <w:spacing w:val="-1"/>
          <w:szCs w:val="21"/>
        </w:rPr>
        <w:t>分销</w:t>
      </w:r>
      <w:r>
        <w:rPr>
          <w:rFonts w:ascii="宋体" w:hAnsi="宋体" w:eastAsia="宋体" w:cs="宋体"/>
          <w:spacing w:val="-1"/>
          <w:szCs w:val="21"/>
        </w:rPr>
        <w:t>阶段□雪地轮胎产品生命末期阶段</w:t>
      </w:r>
    </w:p>
    <w:p>
      <w:pPr>
        <w:spacing w:before="125"/>
        <w:outlineLvl w:val="0"/>
        <w:rPr>
          <w:rFonts w:ascii="黑体" w:hAnsi="黑体" w:eastAsia="黑体" w:cs="黑体"/>
          <w:szCs w:val="21"/>
        </w:rPr>
      </w:pPr>
      <w:bookmarkStart w:id="70" w:name="_Toc11785"/>
      <w:bookmarkStart w:id="71" w:name="_Toc10880"/>
      <w:bookmarkStart w:id="72" w:name="_Toc10394"/>
      <w:r>
        <w:rPr>
          <w:rFonts w:ascii="黑体" w:hAnsi="黑体" w:eastAsia="黑体" w:cs="宋体"/>
          <w:spacing w:val="-1"/>
          <w:szCs w:val="21"/>
        </w:rPr>
        <w:t>C.3.3</w:t>
      </w:r>
      <w:r>
        <w:rPr>
          <w:rFonts w:hint="eastAsia" w:ascii="黑体" w:hAnsi="黑体" w:eastAsia="黑体" w:cs="宋体"/>
          <w:spacing w:val="-1"/>
          <w:szCs w:val="21"/>
        </w:rPr>
        <w:t xml:space="preserve"> </w:t>
      </w:r>
      <w:r>
        <w:rPr>
          <w:rFonts w:ascii="黑体" w:hAnsi="黑体" w:eastAsia="黑体" w:cs="黑体"/>
          <w:spacing w:val="-1"/>
          <w:szCs w:val="21"/>
        </w:rPr>
        <w:t>时间范围</w:t>
      </w:r>
      <w:bookmarkEnd w:id="70"/>
      <w:bookmarkEnd w:id="71"/>
      <w:bookmarkEnd w:id="72"/>
    </w:p>
    <w:p>
      <w:pPr>
        <w:spacing w:before="28"/>
        <w:ind w:left="424"/>
        <w:rPr>
          <w:rFonts w:ascii="宋体" w:hAnsi="宋体" w:eastAsia="宋体" w:cs="宋体"/>
          <w:spacing w:val="-1"/>
          <w:szCs w:val="21"/>
        </w:rPr>
      </w:pPr>
      <w:r>
        <w:rPr>
          <w:rFonts w:ascii="宋体" w:hAnsi="宋体" w:eastAsia="宋体" w:cs="宋体"/>
          <w:spacing w:val="-1"/>
          <w:szCs w:val="21"/>
        </w:rPr>
        <w:t>年度</w:t>
      </w:r>
    </w:p>
    <w:p>
      <w:pPr>
        <w:spacing w:before="28"/>
        <w:ind w:left="424"/>
        <w:rPr>
          <w:rFonts w:ascii="宋体" w:hAnsi="宋体" w:eastAsia="宋体" w:cs="宋体"/>
          <w:spacing w:val="-1"/>
          <w:szCs w:val="21"/>
        </w:rPr>
      </w:pPr>
    </w:p>
    <w:p>
      <w:pPr>
        <w:spacing w:before="68"/>
        <w:outlineLvl w:val="0"/>
        <w:rPr>
          <w:rFonts w:ascii="黑体" w:hAnsi="黑体" w:eastAsia="黑体" w:cs="黑体"/>
          <w:szCs w:val="21"/>
        </w:rPr>
      </w:pPr>
      <w:bookmarkStart w:id="73" w:name="_Toc8914"/>
      <w:bookmarkStart w:id="74" w:name="_Toc28308"/>
      <w:bookmarkStart w:id="75" w:name="_Toc27091"/>
      <w:r>
        <w:rPr>
          <w:rFonts w:ascii="黑体" w:hAnsi="黑体" w:eastAsia="黑体" w:cs="黑体"/>
          <w:spacing w:val="-1"/>
          <w:szCs w:val="21"/>
        </w:rPr>
        <w:t>C.4 数据收集</w:t>
      </w:r>
      <w:bookmarkEnd w:id="73"/>
      <w:bookmarkEnd w:id="74"/>
      <w:bookmarkEnd w:id="75"/>
    </w:p>
    <w:p>
      <w:pPr>
        <w:pStyle w:val="3"/>
        <w:rPr>
          <w:lang w:eastAsia="zh-CN"/>
        </w:rPr>
      </w:pPr>
    </w:p>
    <w:p>
      <w:pPr>
        <w:spacing w:before="69"/>
        <w:outlineLvl w:val="0"/>
        <w:rPr>
          <w:rFonts w:ascii="黑体" w:hAnsi="黑体" w:eastAsia="黑体" w:cs="黑体"/>
          <w:szCs w:val="21"/>
        </w:rPr>
      </w:pPr>
      <w:bookmarkStart w:id="76" w:name="_Toc11987"/>
      <w:bookmarkStart w:id="77" w:name="_Toc17691"/>
      <w:bookmarkStart w:id="78" w:name="_Toc5292"/>
      <w:r>
        <w:rPr>
          <w:rFonts w:ascii="黑体" w:hAnsi="黑体" w:eastAsia="黑体" w:cs="黑体"/>
          <w:spacing w:val="-1"/>
          <w:szCs w:val="21"/>
        </w:rPr>
        <w:t>C.4.1 原材料获取阶段</w:t>
      </w:r>
      <w:bookmarkEnd w:id="76"/>
      <w:bookmarkEnd w:id="77"/>
      <w:bookmarkEnd w:id="78"/>
    </w:p>
    <w:p>
      <w:pPr>
        <w:rPr>
          <w:rFonts w:ascii="宋体" w:hAnsi="宋体" w:eastAsia="宋体" w:cs="宋体"/>
          <w:szCs w:val="21"/>
        </w:rPr>
      </w:pPr>
    </w:p>
    <w:p>
      <w:pPr>
        <w:ind w:firstLine="420" w:firstLineChars="200"/>
        <w:rPr>
          <w:b/>
          <w:bCs/>
          <w:sz w:val="22"/>
          <w:szCs w:val="24"/>
        </w:rPr>
      </w:pPr>
      <w:r>
        <w:rPr>
          <w:rFonts w:ascii="宋体" w:hAnsi="宋体" w:eastAsia="宋体" w:cs="宋体"/>
          <w:szCs w:val="21"/>
        </w:rPr>
        <w:t>列出系统边界内的原生材料数据和再生材料</w:t>
      </w:r>
      <w:r>
        <w:rPr>
          <w:rFonts w:ascii="宋体" w:hAnsi="宋体" w:eastAsia="宋体" w:cs="宋体"/>
          <w:spacing w:val="-1"/>
          <w:szCs w:val="21"/>
        </w:rPr>
        <w:t>数据，见表</w:t>
      </w:r>
      <w:r>
        <w:rPr>
          <w:rFonts w:hint="eastAsia" w:ascii="宋体" w:hAnsi="宋体" w:eastAsia="宋体" w:cs="宋体"/>
          <w:spacing w:val="-1"/>
          <w:szCs w:val="21"/>
        </w:rPr>
        <w:t>C.</w:t>
      </w:r>
      <w:r>
        <w:rPr>
          <w:rFonts w:ascii="Times New Roman" w:hAnsi="Times New Roman" w:eastAsia="Times New Roman" w:cs="Times New Roman"/>
          <w:spacing w:val="-1"/>
          <w:szCs w:val="21"/>
        </w:rPr>
        <w:t>1</w:t>
      </w:r>
      <w:r>
        <w:rPr>
          <w:rFonts w:ascii="宋体" w:hAnsi="宋体" w:eastAsia="宋体" w:cs="宋体"/>
          <w:spacing w:val="-1"/>
          <w:szCs w:val="21"/>
        </w:rPr>
        <w:t>。</w:t>
      </w:r>
    </w:p>
    <w:p>
      <w:pPr>
        <w:ind w:firstLine="420"/>
      </w:pPr>
    </w:p>
    <w:p>
      <w:pPr>
        <w:ind w:firstLine="404" w:firstLineChars="200"/>
        <w:rPr>
          <w:rFonts w:ascii="宋体" w:hAnsi="宋体" w:eastAsia="宋体" w:cs="宋体"/>
          <w:spacing w:val="9"/>
          <w:szCs w:val="21"/>
        </w:rPr>
      </w:pPr>
      <w:r>
        <w:rPr>
          <w:rFonts w:ascii="宋体" w:hAnsi="宋体" w:eastAsia="宋体" w:cs="宋体"/>
          <w:spacing w:val="-4"/>
          <w:szCs w:val="21"/>
        </w:rPr>
        <w:t>说明各种类型原材料的生命周期清单数据来源（现场数据</w:t>
      </w:r>
      <w:r>
        <w:rPr>
          <w:rFonts w:ascii="Times New Roman" w:hAnsi="Times New Roman" w:eastAsia="Times New Roman" w:cs="Times New Roman"/>
          <w:spacing w:val="-4"/>
          <w:szCs w:val="21"/>
        </w:rPr>
        <w:t>/</w:t>
      </w:r>
      <w:r>
        <w:rPr>
          <w:rFonts w:ascii="宋体" w:hAnsi="宋体" w:eastAsia="宋体" w:cs="宋体"/>
          <w:spacing w:val="-4"/>
          <w:szCs w:val="21"/>
        </w:rPr>
        <w:t>次级数据</w:t>
      </w:r>
      <w:r>
        <w:rPr>
          <w:rFonts w:ascii="Times New Roman" w:hAnsi="Times New Roman" w:eastAsia="Times New Roman" w:cs="Times New Roman"/>
          <w:spacing w:val="-4"/>
          <w:szCs w:val="21"/>
        </w:rPr>
        <w:t>/</w:t>
      </w:r>
      <w:r>
        <w:rPr>
          <w:rFonts w:ascii="宋体" w:hAnsi="宋体" w:eastAsia="宋体" w:cs="宋体"/>
          <w:spacing w:val="-4"/>
          <w:szCs w:val="21"/>
        </w:rPr>
        <w:t>数据库数据）。</w:t>
      </w:r>
    </w:p>
    <w:p>
      <w:pPr>
        <w:pStyle w:val="3"/>
        <w:rPr>
          <w:rFonts w:eastAsiaTheme="minorEastAsia"/>
          <w:lang w:eastAsia="zh-CN"/>
        </w:rPr>
      </w:pPr>
    </w:p>
    <w:p>
      <w:pPr>
        <w:jc w:val="center"/>
        <w:rPr>
          <w:rFonts w:ascii="黑体" w:hAnsi="黑体" w:eastAsia="黑体" w:cs="黑体"/>
          <w:spacing w:val="-2"/>
          <w:szCs w:val="21"/>
        </w:rPr>
      </w:pPr>
    </w:p>
    <w:p>
      <w:pPr>
        <w:jc w:val="center"/>
        <w:rPr>
          <w:rFonts w:ascii="黑体" w:hAnsi="黑体" w:eastAsia="黑体" w:cs="黑体"/>
          <w:spacing w:val="-2"/>
          <w:szCs w:val="21"/>
        </w:rPr>
      </w:pPr>
    </w:p>
    <w:p>
      <w:pPr>
        <w:jc w:val="center"/>
        <w:rPr>
          <w:rFonts w:ascii="黑体" w:hAnsi="黑体" w:eastAsia="黑体" w:cs="黑体"/>
          <w:spacing w:val="-2"/>
          <w:szCs w:val="21"/>
        </w:rPr>
      </w:pPr>
    </w:p>
    <w:p>
      <w:pPr>
        <w:jc w:val="center"/>
        <w:rPr>
          <w:rFonts w:ascii="黑体" w:hAnsi="黑体" w:eastAsia="黑体" w:cs="黑体"/>
          <w:spacing w:val="-2"/>
          <w:szCs w:val="21"/>
        </w:rPr>
      </w:pPr>
    </w:p>
    <w:p>
      <w:pPr>
        <w:jc w:val="center"/>
        <w:rPr>
          <w:rFonts w:ascii="黑体" w:hAnsi="黑体" w:eastAsia="黑体" w:cs="黑体"/>
          <w:spacing w:val="-2"/>
          <w:szCs w:val="21"/>
        </w:rPr>
      </w:pPr>
      <w:r>
        <w:rPr>
          <w:sz w:val="39"/>
        </w:rPr>
        <mc:AlternateContent>
          <mc:Choice Requires="wps">
            <w:drawing>
              <wp:anchor distT="0" distB="0" distL="114300" distR="114300" simplePos="0" relativeHeight="251683840" behindDoc="0" locked="0" layoutInCell="1" allowOverlap="1">
                <wp:simplePos x="0" y="0"/>
                <wp:positionH relativeFrom="column">
                  <wp:posOffset>-83185</wp:posOffset>
                </wp:positionH>
                <wp:positionV relativeFrom="paragraph">
                  <wp:posOffset>147320</wp:posOffset>
                </wp:positionV>
                <wp:extent cx="6289675" cy="8905875"/>
                <wp:effectExtent l="0" t="0" r="15875" b="28575"/>
                <wp:wrapNone/>
                <wp:docPr id="13" name="矩形 13"/>
                <wp:cNvGraphicFramePr/>
                <a:graphic xmlns:a="http://schemas.openxmlformats.org/drawingml/2006/main">
                  <a:graphicData uri="http://schemas.microsoft.com/office/word/2010/wordprocessingShape">
                    <wps:wsp>
                      <wps:cNvSpPr/>
                      <wps:spPr>
                        <a:xfrm>
                          <a:off x="0" y="0"/>
                          <a:ext cx="6289675" cy="89058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6.55pt;margin-top:11.6pt;height:701.25pt;width:495.25pt;z-index:251683840;v-text-anchor:middle;mso-width-relative:page;mso-height-relative:page;" filled="f" stroked="t" coordsize="21600,21600" o:gfxdata="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NIqGT7ZAAAACwEAAA8AAAAAAAAAAQAgAAAAOAAAAGRycy9kb3ducmV2Lnht&#10;bFBLAQIUABQAAAAIAIdO4kBUaBweVAIAAI8EAAAOAAAAAAAAAAEAIAAAAD4BAABkcnMvZTJvRG9j&#10;LnhtbFBLBQYAAAAABgAGAFkBAAAEBgAAAAA=&#10;">
                <v:fill on="f" focussize="0,0"/>
                <v:stroke weight="1pt" color="#000000 [3213]" miterlimit="8" joinstyle="miter"/>
                <v:imagedata o:title=""/>
                <o:lock v:ext="edit" aspectratio="f"/>
              </v:rect>
            </w:pict>
          </mc:Fallback>
        </mc:AlternateContent>
      </w:r>
    </w:p>
    <w:p>
      <w:pPr>
        <w:jc w:val="center"/>
        <w:rPr>
          <w:rFonts w:ascii="黑体" w:hAnsi="黑体" w:eastAsia="黑体" w:cs="黑体"/>
          <w:szCs w:val="21"/>
        </w:rPr>
      </w:pPr>
      <w:r>
        <w:rPr>
          <w:rFonts w:ascii="黑体" w:hAnsi="黑体" w:eastAsia="黑体" w:cs="黑体"/>
          <w:spacing w:val="-2"/>
          <w:szCs w:val="21"/>
        </w:rPr>
        <w:t>表</w:t>
      </w:r>
      <w:r>
        <w:rPr>
          <w:rFonts w:hint="eastAsia" w:ascii="黑体" w:hAnsi="黑体" w:eastAsia="黑体" w:cs="黑体"/>
          <w:spacing w:val="-2"/>
          <w:szCs w:val="21"/>
        </w:rPr>
        <w:t xml:space="preserve">C.1 </w:t>
      </w:r>
      <w:r>
        <w:rPr>
          <w:rFonts w:ascii="黑体" w:hAnsi="黑体" w:eastAsia="黑体" w:cs="宋体"/>
          <w:spacing w:val="-46"/>
          <w:szCs w:val="21"/>
        </w:rPr>
        <w:t xml:space="preserve"> </w:t>
      </w:r>
      <w:r>
        <w:rPr>
          <w:rFonts w:hint="eastAsia" w:ascii="黑体" w:hAnsi="黑体" w:eastAsia="黑体" w:cs="宋体"/>
          <w:spacing w:val="-46"/>
          <w:szCs w:val="21"/>
        </w:rPr>
        <w:t xml:space="preserve"> 雪</w:t>
      </w:r>
      <w:r>
        <w:rPr>
          <w:rFonts w:ascii="黑体" w:hAnsi="黑体" w:eastAsia="黑体" w:cs="黑体"/>
          <w:spacing w:val="-2"/>
          <w:szCs w:val="21"/>
        </w:rPr>
        <w:t>地轮胎产品原材料输入清单（请根据实际情况填写）</w:t>
      </w:r>
    </w:p>
    <w:tbl>
      <w:tblPr>
        <w:tblStyle w:val="29"/>
        <w:tblpPr w:leftFromText="180" w:rightFromText="180" w:vertAnchor="text" w:horzAnchor="page" w:tblpX="1277" w:tblpY="272"/>
        <w:tblOverlap w:val="never"/>
        <w:tblW w:w="9620" w:type="dxa"/>
        <w:tblInd w:w="0"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1658"/>
        <w:gridCol w:w="625"/>
        <w:gridCol w:w="1416"/>
        <w:gridCol w:w="454"/>
        <w:gridCol w:w="1587"/>
        <w:gridCol w:w="454"/>
        <w:gridCol w:w="484"/>
        <w:gridCol w:w="1808"/>
        <w:gridCol w:w="454"/>
        <w:gridCol w:w="680"/>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1658" w:type="dxa"/>
            <w:tcBorders>
              <w:bottom w:val="single" w:color="000000" w:sz="6" w:space="0"/>
            </w:tcBorders>
            <w:vAlign w:val="center"/>
          </w:tcPr>
          <w:p>
            <w:pPr>
              <w:pStyle w:val="28"/>
              <w:spacing w:line="219" w:lineRule="auto"/>
              <w:jc w:val="center"/>
              <w:rPr>
                <w:rFonts w:ascii="Times New Roman" w:hAnsi="Times New Roman" w:cs="Times New Roman" w:eastAsiaTheme="minorEastAsia"/>
                <w:b/>
              </w:rPr>
            </w:pPr>
            <w:r>
              <w:rPr>
                <w:rFonts w:ascii="Times New Roman" w:hAnsi="Times New Roman" w:cs="Times New Roman" w:eastAsiaTheme="minorEastAsia"/>
                <w:b/>
                <w:spacing w:val="-2"/>
              </w:rPr>
              <w:t>材料名称</w:t>
            </w:r>
          </w:p>
        </w:tc>
        <w:tc>
          <w:tcPr>
            <w:tcW w:w="625" w:type="dxa"/>
            <w:tcBorders>
              <w:bottom w:val="single" w:color="000000" w:sz="6" w:space="0"/>
            </w:tcBorders>
            <w:vAlign w:val="center"/>
          </w:tcPr>
          <w:p>
            <w:pPr>
              <w:pStyle w:val="28"/>
              <w:spacing w:line="345" w:lineRule="auto"/>
              <w:jc w:val="center"/>
              <w:rPr>
                <w:rFonts w:ascii="Times New Roman" w:hAnsi="Times New Roman" w:cs="Times New Roman" w:eastAsiaTheme="minorEastAsia"/>
                <w:b/>
                <w:lang w:eastAsia="zh-CN"/>
              </w:rPr>
            </w:pPr>
            <w:r>
              <w:rPr>
                <w:rFonts w:ascii="Times New Roman" w:hAnsi="Times New Roman" w:cs="Times New Roman" w:eastAsiaTheme="minorEastAsia"/>
                <w:b/>
                <w:spacing w:val="-4"/>
              </w:rPr>
              <w:t>重量</w:t>
            </w:r>
            <w:r>
              <w:rPr>
                <w:rFonts w:ascii="Times New Roman" w:hAnsi="Times New Roman" w:cs="Times New Roman" w:eastAsiaTheme="minorEastAsia"/>
                <w:b/>
              </w:rPr>
              <w:t xml:space="preserve"> </w:t>
            </w:r>
            <w:r>
              <w:rPr>
                <w:rFonts w:hint="eastAsia" w:ascii="Times New Roman" w:hAnsi="Times New Roman" w:cs="Times New Roman" w:eastAsiaTheme="minorEastAsia"/>
                <w:b/>
                <w:spacing w:val="-3"/>
                <w:lang w:eastAsia="zh-CN"/>
              </w:rPr>
              <w:t>（</w:t>
            </w:r>
            <w:r>
              <w:rPr>
                <w:rFonts w:ascii="Times New Roman" w:hAnsi="Times New Roman" w:cs="Times New Roman" w:eastAsiaTheme="minorEastAsia"/>
                <w:b/>
                <w:spacing w:val="-3"/>
              </w:rPr>
              <w:t>kg</w:t>
            </w:r>
            <w:r>
              <w:rPr>
                <w:rFonts w:hint="eastAsia" w:ascii="Times New Roman" w:hAnsi="Times New Roman" w:cs="Times New Roman" w:eastAsiaTheme="minorEastAsia"/>
                <w:b/>
                <w:spacing w:val="-3"/>
                <w:lang w:eastAsia="zh-CN"/>
              </w:rPr>
              <w:t>）</w:t>
            </w:r>
          </w:p>
        </w:tc>
        <w:tc>
          <w:tcPr>
            <w:tcW w:w="1416" w:type="dxa"/>
            <w:tcBorders>
              <w:bottom w:val="single" w:color="000000" w:sz="6" w:space="0"/>
            </w:tcBorders>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spacing w:val="-2"/>
              </w:rPr>
              <w:t>再生材料比例（%）</w:t>
            </w:r>
          </w:p>
        </w:tc>
        <w:tc>
          <w:tcPr>
            <w:tcW w:w="454" w:type="dxa"/>
            <w:tcBorders>
              <w:bottom w:val="single" w:color="000000" w:sz="6" w:space="0"/>
            </w:tcBorders>
            <w:vAlign w:val="center"/>
          </w:tcPr>
          <w:p>
            <w:pPr>
              <w:pStyle w:val="28"/>
              <w:spacing w:line="325" w:lineRule="auto"/>
              <w:jc w:val="center"/>
              <w:rPr>
                <w:rFonts w:ascii="Times New Roman" w:hAnsi="Times New Roman" w:cs="Times New Roman" w:eastAsiaTheme="minorEastAsia"/>
                <w:b/>
                <w:spacing w:val="-4"/>
                <w:lang w:eastAsia="zh-CN"/>
              </w:rPr>
            </w:pPr>
            <w:r>
              <w:rPr>
                <w:rFonts w:ascii="Times New Roman" w:hAnsi="Times New Roman" w:cs="Times New Roman" w:eastAsiaTheme="minorEastAsia"/>
                <w:b/>
                <w:spacing w:val="-4"/>
              </w:rPr>
              <w:t>使用</w:t>
            </w:r>
          </w:p>
          <w:p>
            <w:pPr>
              <w:pStyle w:val="28"/>
              <w:spacing w:line="325" w:lineRule="auto"/>
              <w:jc w:val="center"/>
              <w:rPr>
                <w:rFonts w:ascii="Times New Roman" w:hAnsi="Times New Roman" w:cs="Times New Roman" w:eastAsiaTheme="minorEastAsia"/>
                <w:b/>
              </w:rPr>
            </w:pPr>
            <w:r>
              <w:rPr>
                <w:rFonts w:ascii="Times New Roman" w:hAnsi="Times New Roman" w:cs="Times New Roman" w:eastAsiaTheme="minorEastAsia"/>
                <w:b/>
                <w:spacing w:val="-6"/>
              </w:rPr>
              <w:t>系数</w:t>
            </w:r>
          </w:p>
        </w:tc>
        <w:tc>
          <w:tcPr>
            <w:tcW w:w="1587" w:type="dxa"/>
            <w:tcBorders>
              <w:bottom w:val="single" w:color="000000" w:sz="6" w:space="0"/>
            </w:tcBorders>
            <w:vAlign w:val="center"/>
          </w:tcPr>
          <w:p>
            <w:pPr>
              <w:pStyle w:val="28"/>
              <w:jc w:val="center"/>
              <w:rPr>
                <w:rFonts w:ascii="Times New Roman" w:hAnsi="Times New Roman" w:cs="Times New Roman" w:eastAsiaTheme="minorEastAsia"/>
                <w:b/>
                <w:lang w:eastAsia="zh-CN"/>
              </w:rPr>
            </w:pPr>
            <w:r>
              <w:rPr>
                <w:rFonts w:ascii="Times New Roman" w:hAnsi="Times New Roman" w:cs="Times New Roman" w:eastAsiaTheme="minorEastAsia"/>
                <w:b/>
                <w:spacing w:val="-2"/>
              </w:rPr>
              <w:t>原生材料排放因</w:t>
            </w:r>
            <w:r>
              <w:rPr>
                <w:rFonts w:ascii="Times New Roman" w:hAnsi="Times New Roman" w:cs="Times New Roman" w:eastAsiaTheme="minorEastAsia"/>
                <w:b/>
                <w:spacing w:val="-1"/>
              </w:rPr>
              <w:t>子</w:t>
            </w:r>
            <w:r>
              <w:rPr>
                <w:rFonts w:hint="eastAsia" w:ascii="Times New Roman" w:hAnsi="Times New Roman" w:cs="Times New Roman" w:eastAsiaTheme="minorEastAsia"/>
                <w:b/>
                <w:spacing w:val="-1"/>
                <w:lang w:eastAsia="zh-CN"/>
              </w:rPr>
              <w:t>（</w:t>
            </w:r>
            <w:r>
              <w:rPr>
                <w:rFonts w:ascii="Times New Roman" w:hAnsi="Times New Roman" w:cs="Times New Roman" w:eastAsiaTheme="minorEastAsia"/>
                <w:b/>
                <w:spacing w:val="-1"/>
              </w:rPr>
              <w:t>kgCO</w:t>
            </w:r>
            <w:r>
              <w:rPr>
                <w:rFonts w:ascii="Times New Roman" w:hAnsi="Times New Roman" w:cs="Times New Roman" w:eastAsiaTheme="minorEastAsia"/>
                <w:b/>
                <w:spacing w:val="-1"/>
                <w:vertAlign w:val="subscript"/>
              </w:rPr>
              <w:t>2</w:t>
            </w:r>
            <w:r>
              <w:rPr>
                <w:rFonts w:ascii="Times New Roman" w:hAnsi="Times New Roman" w:cs="Times New Roman" w:eastAsiaTheme="minorEastAsia"/>
                <w:b/>
                <w:spacing w:val="-1"/>
              </w:rPr>
              <w:t>e/kg</w:t>
            </w:r>
            <w:r>
              <w:rPr>
                <w:rFonts w:hint="eastAsia" w:ascii="Times New Roman" w:hAnsi="Times New Roman" w:cs="Times New Roman" w:eastAsiaTheme="minorEastAsia"/>
                <w:b/>
                <w:spacing w:val="-1"/>
                <w:lang w:eastAsia="zh-CN"/>
              </w:rPr>
              <w:t>）</w:t>
            </w:r>
          </w:p>
        </w:tc>
        <w:tc>
          <w:tcPr>
            <w:tcW w:w="454" w:type="dxa"/>
            <w:tcBorders>
              <w:bottom w:val="single" w:color="000000" w:sz="6" w:space="0"/>
            </w:tcBorders>
            <w:vAlign w:val="center"/>
          </w:tcPr>
          <w:p>
            <w:pPr>
              <w:pStyle w:val="28"/>
              <w:spacing w:line="325" w:lineRule="auto"/>
              <w:jc w:val="center"/>
              <w:rPr>
                <w:rFonts w:ascii="Times New Roman" w:hAnsi="Times New Roman" w:cs="Times New Roman" w:eastAsiaTheme="minorEastAsia"/>
                <w:b/>
                <w:spacing w:val="-5"/>
                <w:lang w:eastAsia="zh-CN"/>
              </w:rPr>
            </w:pPr>
            <w:r>
              <w:rPr>
                <w:rFonts w:ascii="Times New Roman" w:hAnsi="Times New Roman" w:cs="Times New Roman" w:eastAsiaTheme="minorEastAsia"/>
                <w:b/>
                <w:spacing w:val="-5"/>
              </w:rPr>
              <w:t>数据</w:t>
            </w:r>
          </w:p>
          <w:p>
            <w:pPr>
              <w:pStyle w:val="28"/>
              <w:spacing w:line="325" w:lineRule="auto"/>
              <w:jc w:val="center"/>
              <w:rPr>
                <w:rFonts w:ascii="Times New Roman" w:hAnsi="Times New Roman" w:cs="Times New Roman" w:eastAsiaTheme="minorEastAsia"/>
                <w:b/>
              </w:rPr>
            </w:pPr>
            <w:r>
              <w:rPr>
                <w:rFonts w:ascii="Times New Roman" w:hAnsi="Times New Roman" w:cs="Times New Roman" w:eastAsiaTheme="minorEastAsia"/>
                <w:b/>
                <w:spacing w:val="-4"/>
              </w:rPr>
              <w:t>来源</w:t>
            </w:r>
          </w:p>
        </w:tc>
        <w:tc>
          <w:tcPr>
            <w:tcW w:w="484" w:type="dxa"/>
            <w:tcBorders>
              <w:bottom w:val="single" w:color="000000" w:sz="6" w:space="0"/>
            </w:tcBorders>
            <w:vAlign w:val="center"/>
          </w:tcPr>
          <w:p>
            <w:pPr>
              <w:spacing w:line="186" w:lineRule="auto"/>
              <w:jc w:val="center"/>
              <w:rPr>
                <w:rFonts w:ascii="Times New Roman" w:hAnsi="Times New Roman" w:cs="Times New Roman"/>
                <w:b/>
                <w:szCs w:val="21"/>
              </w:rPr>
            </w:pPr>
            <w:r>
              <w:rPr>
                <w:rFonts w:ascii="Times New Roman" w:hAnsi="Times New Roman" w:cs="Times New Roman"/>
                <w:b/>
                <w:spacing w:val="-1"/>
                <w:szCs w:val="21"/>
              </w:rPr>
              <w:t>DQR</w:t>
            </w:r>
          </w:p>
        </w:tc>
        <w:tc>
          <w:tcPr>
            <w:tcW w:w="1808" w:type="dxa"/>
            <w:tcBorders>
              <w:bottom w:val="single" w:color="000000" w:sz="6" w:space="0"/>
            </w:tcBorders>
            <w:vAlign w:val="center"/>
          </w:tcPr>
          <w:p>
            <w:pPr>
              <w:pStyle w:val="28"/>
              <w:jc w:val="center"/>
              <w:rPr>
                <w:rFonts w:ascii="Times New Roman" w:hAnsi="Times New Roman" w:cs="Times New Roman" w:eastAsiaTheme="minorEastAsia"/>
                <w:b/>
                <w:lang w:eastAsia="zh-CN"/>
              </w:rPr>
            </w:pPr>
            <w:r>
              <w:rPr>
                <w:rFonts w:ascii="Times New Roman" w:hAnsi="Times New Roman" w:cs="Times New Roman" w:eastAsiaTheme="minorEastAsia"/>
                <w:b/>
                <w:spacing w:val="-2"/>
              </w:rPr>
              <w:t>再生</w:t>
            </w:r>
            <w:r>
              <w:rPr>
                <w:rFonts w:ascii="Times New Roman" w:hAnsi="Times New Roman" w:cs="Times New Roman" w:eastAsiaTheme="minorEastAsia"/>
                <w:b/>
                <w:spacing w:val="-1"/>
              </w:rPr>
              <w:t>材料</w:t>
            </w:r>
            <w:r>
              <w:rPr>
                <w:rFonts w:ascii="Times New Roman" w:hAnsi="Times New Roman" w:cs="Times New Roman" w:eastAsiaTheme="minorEastAsia"/>
                <w:b/>
                <w:spacing w:val="-2"/>
              </w:rPr>
              <w:t>排放因</w:t>
            </w:r>
            <w:r>
              <w:rPr>
                <w:rFonts w:ascii="Times New Roman" w:hAnsi="Times New Roman" w:cs="Times New Roman" w:eastAsiaTheme="minorEastAsia"/>
                <w:b/>
                <w:spacing w:val="-1"/>
              </w:rPr>
              <w:t>子</w:t>
            </w:r>
            <w:r>
              <w:rPr>
                <w:rFonts w:hint="eastAsia" w:ascii="Times New Roman" w:hAnsi="Times New Roman" w:cs="Times New Roman" w:eastAsiaTheme="minorEastAsia"/>
                <w:b/>
                <w:spacing w:val="-1"/>
                <w:lang w:eastAsia="zh-CN"/>
              </w:rPr>
              <w:t>（</w:t>
            </w:r>
            <w:r>
              <w:rPr>
                <w:rFonts w:ascii="Times New Roman" w:hAnsi="Times New Roman" w:cs="Times New Roman" w:eastAsiaTheme="minorEastAsia"/>
                <w:b/>
                <w:spacing w:val="-2"/>
              </w:rPr>
              <w:t>kgCO</w:t>
            </w:r>
            <w:r>
              <w:rPr>
                <w:rFonts w:ascii="Times New Roman" w:hAnsi="Times New Roman" w:cs="Times New Roman" w:eastAsiaTheme="minorEastAsia"/>
                <w:b/>
                <w:spacing w:val="-2"/>
                <w:vertAlign w:val="subscript"/>
              </w:rPr>
              <w:t>2</w:t>
            </w:r>
            <w:r>
              <w:rPr>
                <w:rFonts w:ascii="Times New Roman" w:hAnsi="Times New Roman" w:cs="Times New Roman" w:eastAsiaTheme="minorEastAsia"/>
                <w:b/>
                <w:spacing w:val="-2"/>
              </w:rPr>
              <w:t>e</w:t>
            </w:r>
            <w:r>
              <w:rPr>
                <w:rFonts w:ascii="Times New Roman" w:hAnsi="Times New Roman" w:cs="Times New Roman" w:eastAsiaTheme="minorEastAsia"/>
                <w:b/>
                <w:spacing w:val="-1"/>
              </w:rPr>
              <w:t>/kg</w:t>
            </w:r>
            <w:r>
              <w:rPr>
                <w:rFonts w:hint="eastAsia" w:ascii="Times New Roman" w:hAnsi="Times New Roman" w:cs="Times New Roman" w:eastAsiaTheme="minorEastAsia"/>
                <w:b/>
                <w:spacing w:val="-1"/>
                <w:lang w:eastAsia="zh-CN"/>
              </w:rPr>
              <w:t>）</w:t>
            </w:r>
          </w:p>
        </w:tc>
        <w:tc>
          <w:tcPr>
            <w:tcW w:w="454" w:type="dxa"/>
            <w:tcBorders>
              <w:bottom w:val="single" w:color="000000" w:sz="6" w:space="0"/>
            </w:tcBorders>
            <w:vAlign w:val="center"/>
          </w:tcPr>
          <w:p>
            <w:pPr>
              <w:spacing w:line="186" w:lineRule="auto"/>
              <w:jc w:val="center"/>
              <w:rPr>
                <w:rFonts w:ascii="Times New Roman" w:hAnsi="Times New Roman" w:cs="Times New Roman"/>
                <w:b/>
                <w:spacing w:val="-5"/>
                <w:szCs w:val="21"/>
              </w:rPr>
            </w:pPr>
            <w:r>
              <w:rPr>
                <w:rFonts w:ascii="Times New Roman" w:hAnsi="Times New Roman" w:cs="Times New Roman"/>
                <w:b/>
                <w:spacing w:val="-5"/>
                <w:szCs w:val="21"/>
              </w:rPr>
              <w:t>数据</w:t>
            </w:r>
          </w:p>
          <w:p>
            <w:pPr>
              <w:spacing w:line="186" w:lineRule="auto"/>
              <w:jc w:val="center"/>
              <w:rPr>
                <w:rFonts w:ascii="Times New Roman" w:hAnsi="Times New Roman" w:cs="Times New Roman"/>
                <w:b/>
                <w:szCs w:val="21"/>
              </w:rPr>
            </w:pPr>
            <w:r>
              <w:rPr>
                <w:rFonts w:ascii="Times New Roman" w:hAnsi="Times New Roman" w:cs="Times New Roman"/>
                <w:b/>
                <w:spacing w:val="-1"/>
                <w:szCs w:val="21"/>
              </w:rPr>
              <w:t>来源</w:t>
            </w:r>
          </w:p>
        </w:tc>
        <w:tc>
          <w:tcPr>
            <w:tcW w:w="680" w:type="dxa"/>
            <w:tcBorders>
              <w:bottom w:val="single" w:color="000000" w:sz="6" w:space="0"/>
            </w:tcBorders>
            <w:vAlign w:val="center"/>
          </w:tcPr>
          <w:p>
            <w:pPr>
              <w:spacing w:line="186" w:lineRule="auto"/>
              <w:jc w:val="center"/>
              <w:rPr>
                <w:rFonts w:ascii="Times New Roman" w:hAnsi="Times New Roman" w:cs="Times New Roman"/>
                <w:b/>
                <w:szCs w:val="21"/>
              </w:rPr>
            </w:pPr>
            <w:r>
              <w:rPr>
                <w:rFonts w:ascii="Times New Roman" w:hAnsi="Times New Roman" w:cs="Times New Roman"/>
                <w:b/>
                <w:spacing w:val="-1"/>
                <w:szCs w:val="21"/>
              </w:rPr>
              <w:t>DQR</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tcBorders>
              <w:top w:val="single" w:color="000000" w:sz="6" w:space="0"/>
            </w:tcBorders>
            <w:vAlign w:val="center"/>
          </w:tcPr>
          <w:p>
            <w:pPr>
              <w:jc w:val="center"/>
              <w:rPr>
                <w:rFonts w:ascii="Times New Roman" w:hAnsi="Times New Roman" w:cs="Times New Roman"/>
                <w:spacing w:val="-2"/>
              </w:rPr>
            </w:pPr>
            <w:r>
              <w:rPr>
                <w:rFonts w:ascii="Times New Roman" w:hAnsi="Times New Roman" w:eastAsia="Times New Roman" w:cs="Times New Roman"/>
                <w:position w:val="1"/>
                <w:sz w:val="18"/>
                <w:szCs w:val="18"/>
              </w:rPr>
              <w:t>橡胶-天然橡胶</w:t>
            </w:r>
          </w:p>
        </w:tc>
        <w:tc>
          <w:tcPr>
            <w:tcW w:w="625" w:type="dxa"/>
            <w:tcBorders>
              <w:top w:val="single" w:color="000000" w:sz="6" w:space="0"/>
            </w:tcBorders>
            <w:vAlign w:val="center"/>
          </w:tcPr>
          <w:p>
            <w:pPr>
              <w:jc w:val="center"/>
              <w:rPr>
                <w:rFonts w:ascii="Times New Roman" w:hAnsi="Times New Roman" w:cs="Times New Roman"/>
                <w:szCs w:val="21"/>
              </w:rPr>
            </w:pPr>
          </w:p>
        </w:tc>
        <w:tc>
          <w:tcPr>
            <w:tcW w:w="1416"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1587"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484" w:type="dxa"/>
            <w:tcBorders>
              <w:top w:val="single" w:color="000000" w:sz="6" w:space="0"/>
            </w:tcBorders>
            <w:vAlign w:val="center"/>
          </w:tcPr>
          <w:p>
            <w:pPr>
              <w:jc w:val="center"/>
              <w:rPr>
                <w:rFonts w:ascii="Times New Roman" w:hAnsi="Times New Roman" w:cs="Times New Roman"/>
                <w:szCs w:val="21"/>
              </w:rPr>
            </w:pPr>
          </w:p>
        </w:tc>
        <w:tc>
          <w:tcPr>
            <w:tcW w:w="1808"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680"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tcBorders>
              <w:top w:val="single" w:color="000000" w:sz="6" w:space="0"/>
            </w:tcBorders>
            <w:vAlign w:val="center"/>
          </w:tcPr>
          <w:p>
            <w:pPr>
              <w:jc w:val="center"/>
              <w:rPr>
                <w:rFonts w:ascii="Times New Roman" w:hAnsi="Times New Roman" w:cs="Times New Roman"/>
                <w:spacing w:val="-2"/>
              </w:rPr>
            </w:pPr>
            <w:r>
              <w:rPr>
                <w:rFonts w:ascii="Times New Roman" w:hAnsi="Times New Roman" w:eastAsia="Times New Roman" w:cs="Times New Roman"/>
                <w:position w:val="1"/>
                <w:sz w:val="18"/>
                <w:szCs w:val="18"/>
              </w:rPr>
              <w:t>橡胶-合成橡胶</w:t>
            </w:r>
          </w:p>
        </w:tc>
        <w:tc>
          <w:tcPr>
            <w:tcW w:w="625" w:type="dxa"/>
            <w:tcBorders>
              <w:top w:val="single" w:color="000000" w:sz="6" w:space="0"/>
            </w:tcBorders>
            <w:vAlign w:val="center"/>
          </w:tcPr>
          <w:p>
            <w:pPr>
              <w:jc w:val="center"/>
              <w:rPr>
                <w:rFonts w:ascii="Times New Roman" w:hAnsi="Times New Roman" w:cs="Times New Roman"/>
                <w:szCs w:val="21"/>
              </w:rPr>
            </w:pPr>
          </w:p>
        </w:tc>
        <w:tc>
          <w:tcPr>
            <w:tcW w:w="1416"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1587"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484" w:type="dxa"/>
            <w:tcBorders>
              <w:top w:val="single" w:color="000000" w:sz="6" w:space="0"/>
            </w:tcBorders>
            <w:vAlign w:val="center"/>
          </w:tcPr>
          <w:p>
            <w:pPr>
              <w:jc w:val="center"/>
              <w:rPr>
                <w:rFonts w:ascii="Times New Roman" w:hAnsi="Times New Roman" w:cs="Times New Roman"/>
                <w:szCs w:val="21"/>
              </w:rPr>
            </w:pPr>
          </w:p>
        </w:tc>
        <w:tc>
          <w:tcPr>
            <w:tcW w:w="1808"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680"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tcBorders>
              <w:top w:val="single" w:color="000000" w:sz="6" w:space="0"/>
            </w:tcBorders>
            <w:vAlign w:val="center"/>
          </w:tcPr>
          <w:p>
            <w:pPr>
              <w:jc w:val="center"/>
              <w:rPr>
                <w:rFonts w:ascii="Times New Roman" w:hAnsi="Times New Roman" w:cs="Times New Roman"/>
                <w:spacing w:val="-2"/>
              </w:rPr>
            </w:pPr>
            <w:r>
              <w:rPr>
                <w:rFonts w:ascii="Times New Roman" w:hAnsi="Times New Roman" w:eastAsia="Times New Roman" w:cs="Times New Roman"/>
                <w:position w:val="1"/>
                <w:sz w:val="18"/>
                <w:szCs w:val="18"/>
              </w:rPr>
              <w:t>补强材料-二氧化硅</w:t>
            </w:r>
          </w:p>
        </w:tc>
        <w:tc>
          <w:tcPr>
            <w:tcW w:w="625" w:type="dxa"/>
            <w:tcBorders>
              <w:top w:val="single" w:color="000000" w:sz="6" w:space="0"/>
            </w:tcBorders>
            <w:vAlign w:val="center"/>
          </w:tcPr>
          <w:p>
            <w:pPr>
              <w:jc w:val="center"/>
              <w:rPr>
                <w:rFonts w:ascii="Times New Roman" w:hAnsi="Times New Roman" w:cs="Times New Roman"/>
                <w:szCs w:val="21"/>
              </w:rPr>
            </w:pPr>
          </w:p>
        </w:tc>
        <w:tc>
          <w:tcPr>
            <w:tcW w:w="1416"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1587"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484" w:type="dxa"/>
            <w:tcBorders>
              <w:top w:val="single" w:color="000000" w:sz="6" w:space="0"/>
            </w:tcBorders>
            <w:vAlign w:val="center"/>
          </w:tcPr>
          <w:p>
            <w:pPr>
              <w:jc w:val="center"/>
              <w:rPr>
                <w:rFonts w:ascii="Times New Roman" w:hAnsi="Times New Roman" w:cs="Times New Roman"/>
                <w:szCs w:val="21"/>
              </w:rPr>
            </w:pPr>
          </w:p>
        </w:tc>
        <w:tc>
          <w:tcPr>
            <w:tcW w:w="1808"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680"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tcBorders>
              <w:top w:val="single" w:color="000000" w:sz="6" w:space="0"/>
            </w:tcBorders>
            <w:vAlign w:val="center"/>
          </w:tcPr>
          <w:p>
            <w:pPr>
              <w:jc w:val="center"/>
              <w:rPr>
                <w:rFonts w:ascii="Times New Roman" w:hAnsi="Times New Roman" w:cs="Times New Roman"/>
                <w:spacing w:val="-2"/>
              </w:rPr>
            </w:pPr>
            <w:r>
              <w:rPr>
                <w:rFonts w:ascii="Times New Roman" w:hAnsi="Times New Roman" w:eastAsia="Times New Roman" w:cs="Times New Roman"/>
                <w:position w:val="1"/>
                <w:sz w:val="18"/>
                <w:szCs w:val="18"/>
              </w:rPr>
              <w:t>补强材料-炭黑</w:t>
            </w:r>
          </w:p>
        </w:tc>
        <w:tc>
          <w:tcPr>
            <w:tcW w:w="625" w:type="dxa"/>
            <w:tcBorders>
              <w:top w:val="single" w:color="000000" w:sz="6" w:space="0"/>
            </w:tcBorders>
            <w:vAlign w:val="center"/>
          </w:tcPr>
          <w:p>
            <w:pPr>
              <w:jc w:val="center"/>
              <w:rPr>
                <w:rFonts w:ascii="Times New Roman" w:hAnsi="Times New Roman" w:cs="Times New Roman"/>
                <w:szCs w:val="21"/>
              </w:rPr>
            </w:pPr>
          </w:p>
        </w:tc>
        <w:tc>
          <w:tcPr>
            <w:tcW w:w="1416"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1587"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484" w:type="dxa"/>
            <w:tcBorders>
              <w:top w:val="single" w:color="000000" w:sz="6" w:space="0"/>
            </w:tcBorders>
            <w:vAlign w:val="center"/>
          </w:tcPr>
          <w:p>
            <w:pPr>
              <w:jc w:val="center"/>
              <w:rPr>
                <w:rFonts w:ascii="Times New Roman" w:hAnsi="Times New Roman" w:cs="Times New Roman"/>
                <w:szCs w:val="21"/>
              </w:rPr>
            </w:pPr>
          </w:p>
        </w:tc>
        <w:tc>
          <w:tcPr>
            <w:tcW w:w="1808"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680"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tcBorders>
              <w:top w:val="single" w:color="000000" w:sz="6" w:space="0"/>
            </w:tcBorders>
            <w:vAlign w:val="center"/>
          </w:tcPr>
          <w:p>
            <w:pPr>
              <w:jc w:val="center"/>
              <w:rPr>
                <w:rFonts w:ascii="Times New Roman" w:hAnsi="Times New Roman" w:cs="Times New Roman"/>
              </w:rPr>
            </w:pPr>
            <w:r>
              <w:rPr>
                <w:rFonts w:ascii="Times New Roman" w:hAnsi="Times New Roman" w:eastAsia="Times New Roman" w:cs="Times New Roman"/>
                <w:position w:val="1"/>
                <w:sz w:val="18"/>
                <w:szCs w:val="18"/>
              </w:rPr>
              <w:t>助剂-钴盐</w:t>
            </w:r>
          </w:p>
        </w:tc>
        <w:tc>
          <w:tcPr>
            <w:tcW w:w="625" w:type="dxa"/>
            <w:tcBorders>
              <w:top w:val="single" w:color="000000" w:sz="6" w:space="0"/>
            </w:tcBorders>
            <w:vAlign w:val="center"/>
          </w:tcPr>
          <w:p>
            <w:pPr>
              <w:jc w:val="center"/>
              <w:rPr>
                <w:rFonts w:ascii="Times New Roman" w:hAnsi="Times New Roman" w:cs="Times New Roman"/>
                <w:szCs w:val="21"/>
              </w:rPr>
            </w:pPr>
          </w:p>
        </w:tc>
        <w:tc>
          <w:tcPr>
            <w:tcW w:w="1416"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1587"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484" w:type="dxa"/>
            <w:tcBorders>
              <w:top w:val="single" w:color="000000" w:sz="6" w:space="0"/>
            </w:tcBorders>
            <w:vAlign w:val="center"/>
          </w:tcPr>
          <w:p>
            <w:pPr>
              <w:jc w:val="center"/>
              <w:rPr>
                <w:rFonts w:ascii="Times New Roman" w:hAnsi="Times New Roman" w:cs="Times New Roman"/>
                <w:szCs w:val="21"/>
              </w:rPr>
            </w:pPr>
          </w:p>
        </w:tc>
        <w:tc>
          <w:tcPr>
            <w:tcW w:w="1808" w:type="dxa"/>
            <w:tcBorders>
              <w:top w:val="single" w:color="000000" w:sz="6" w:space="0"/>
            </w:tcBorders>
            <w:vAlign w:val="center"/>
          </w:tcPr>
          <w:p>
            <w:pPr>
              <w:jc w:val="center"/>
              <w:rPr>
                <w:rFonts w:ascii="Times New Roman" w:hAnsi="Times New Roman" w:cs="Times New Roman"/>
                <w:szCs w:val="21"/>
              </w:rPr>
            </w:pPr>
          </w:p>
        </w:tc>
        <w:tc>
          <w:tcPr>
            <w:tcW w:w="454" w:type="dxa"/>
            <w:tcBorders>
              <w:top w:val="single" w:color="000000" w:sz="6" w:space="0"/>
            </w:tcBorders>
            <w:vAlign w:val="center"/>
          </w:tcPr>
          <w:p>
            <w:pPr>
              <w:jc w:val="center"/>
              <w:rPr>
                <w:rFonts w:ascii="Times New Roman" w:hAnsi="Times New Roman" w:cs="Times New Roman"/>
                <w:szCs w:val="21"/>
              </w:rPr>
            </w:pPr>
          </w:p>
        </w:tc>
        <w:tc>
          <w:tcPr>
            <w:tcW w:w="680"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vAlign w:val="center"/>
          </w:tcPr>
          <w:p>
            <w:pPr>
              <w:jc w:val="center"/>
              <w:rPr>
                <w:rFonts w:ascii="Times New Roman" w:hAnsi="Times New Roman" w:cs="Times New Roman"/>
              </w:rPr>
            </w:pPr>
            <w:r>
              <w:rPr>
                <w:rFonts w:ascii="Times New Roman" w:hAnsi="Times New Roman" w:eastAsia="Times New Roman" w:cs="Times New Roman"/>
                <w:position w:val="1"/>
                <w:sz w:val="18"/>
                <w:szCs w:val="18"/>
              </w:rPr>
              <w:t>助剂-增塑剂</w:t>
            </w:r>
          </w:p>
        </w:tc>
        <w:tc>
          <w:tcPr>
            <w:tcW w:w="625" w:type="dxa"/>
            <w:vAlign w:val="center"/>
          </w:tcPr>
          <w:p>
            <w:pPr>
              <w:jc w:val="center"/>
              <w:rPr>
                <w:rFonts w:ascii="Times New Roman" w:hAnsi="Times New Roman" w:cs="Times New Roman"/>
                <w:szCs w:val="21"/>
              </w:rPr>
            </w:pPr>
          </w:p>
        </w:tc>
        <w:tc>
          <w:tcPr>
            <w:tcW w:w="1416"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1587"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484" w:type="dxa"/>
            <w:vAlign w:val="center"/>
          </w:tcPr>
          <w:p>
            <w:pPr>
              <w:jc w:val="center"/>
              <w:rPr>
                <w:rFonts w:ascii="Times New Roman" w:hAnsi="Times New Roman" w:cs="Times New Roman"/>
                <w:szCs w:val="21"/>
              </w:rPr>
            </w:pPr>
          </w:p>
        </w:tc>
        <w:tc>
          <w:tcPr>
            <w:tcW w:w="1808"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6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vAlign w:val="center"/>
          </w:tcPr>
          <w:p>
            <w:pPr>
              <w:jc w:val="center"/>
              <w:rPr>
                <w:rFonts w:ascii="Times New Roman" w:hAnsi="Times New Roman" w:cs="Times New Roman"/>
              </w:rPr>
            </w:pPr>
            <w:r>
              <w:rPr>
                <w:rFonts w:ascii="Times New Roman" w:hAnsi="Times New Roman" w:eastAsia="Times New Roman" w:cs="Times New Roman"/>
                <w:position w:val="1"/>
                <w:sz w:val="18"/>
                <w:szCs w:val="18"/>
              </w:rPr>
              <w:t>助剂-脱模剂</w:t>
            </w:r>
          </w:p>
        </w:tc>
        <w:tc>
          <w:tcPr>
            <w:tcW w:w="625" w:type="dxa"/>
            <w:vAlign w:val="center"/>
          </w:tcPr>
          <w:p>
            <w:pPr>
              <w:jc w:val="center"/>
              <w:rPr>
                <w:rFonts w:ascii="Times New Roman" w:hAnsi="Times New Roman" w:cs="Times New Roman"/>
                <w:szCs w:val="21"/>
              </w:rPr>
            </w:pPr>
          </w:p>
        </w:tc>
        <w:tc>
          <w:tcPr>
            <w:tcW w:w="1416"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1587"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484" w:type="dxa"/>
            <w:vAlign w:val="center"/>
          </w:tcPr>
          <w:p>
            <w:pPr>
              <w:jc w:val="center"/>
              <w:rPr>
                <w:rFonts w:ascii="Times New Roman" w:hAnsi="Times New Roman" w:cs="Times New Roman"/>
                <w:szCs w:val="21"/>
              </w:rPr>
            </w:pPr>
          </w:p>
        </w:tc>
        <w:tc>
          <w:tcPr>
            <w:tcW w:w="1808"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6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vAlign w:val="center"/>
          </w:tcPr>
          <w:p>
            <w:pPr>
              <w:jc w:val="center"/>
              <w:rPr>
                <w:rFonts w:ascii="Times New Roman" w:hAnsi="Times New Roman" w:cs="Times New Roman"/>
              </w:rPr>
            </w:pPr>
            <w:r>
              <w:rPr>
                <w:rFonts w:ascii="Times New Roman" w:hAnsi="Times New Roman" w:eastAsia="Times New Roman" w:cs="Times New Roman"/>
                <w:position w:val="1"/>
                <w:sz w:val="18"/>
                <w:szCs w:val="18"/>
              </w:rPr>
              <w:t>骨架材料-钢丝</w:t>
            </w:r>
          </w:p>
        </w:tc>
        <w:tc>
          <w:tcPr>
            <w:tcW w:w="625" w:type="dxa"/>
            <w:vAlign w:val="center"/>
          </w:tcPr>
          <w:p>
            <w:pPr>
              <w:jc w:val="center"/>
              <w:rPr>
                <w:rFonts w:ascii="Times New Roman" w:hAnsi="Times New Roman" w:cs="Times New Roman"/>
                <w:szCs w:val="21"/>
              </w:rPr>
            </w:pPr>
          </w:p>
        </w:tc>
        <w:tc>
          <w:tcPr>
            <w:tcW w:w="1416"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1587"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484" w:type="dxa"/>
            <w:vAlign w:val="center"/>
          </w:tcPr>
          <w:p>
            <w:pPr>
              <w:jc w:val="center"/>
              <w:rPr>
                <w:rFonts w:ascii="Times New Roman" w:hAnsi="Times New Roman" w:cs="Times New Roman"/>
                <w:szCs w:val="21"/>
              </w:rPr>
            </w:pPr>
          </w:p>
        </w:tc>
        <w:tc>
          <w:tcPr>
            <w:tcW w:w="1808"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6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vAlign w:val="center"/>
          </w:tcPr>
          <w:p>
            <w:pPr>
              <w:jc w:val="center"/>
              <w:rPr>
                <w:rFonts w:ascii="Times New Roman" w:hAnsi="Times New Roman" w:cs="Times New Roman"/>
              </w:rPr>
            </w:pPr>
            <w:r>
              <w:rPr>
                <w:rFonts w:ascii="Times New Roman" w:hAnsi="Times New Roman" w:eastAsia="Times New Roman" w:cs="Times New Roman"/>
                <w:position w:val="1"/>
                <w:sz w:val="18"/>
                <w:szCs w:val="18"/>
              </w:rPr>
              <w:t>骨架材料-尼龙</w:t>
            </w:r>
          </w:p>
        </w:tc>
        <w:tc>
          <w:tcPr>
            <w:tcW w:w="625" w:type="dxa"/>
            <w:vAlign w:val="center"/>
          </w:tcPr>
          <w:p>
            <w:pPr>
              <w:jc w:val="center"/>
              <w:rPr>
                <w:rFonts w:ascii="Times New Roman" w:hAnsi="Times New Roman" w:cs="Times New Roman"/>
                <w:szCs w:val="21"/>
              </w:rPr>
            </w:pPr>
          </w:p>
        </w:tc>
        <w:tc>
          <w:tcPr>
            <w:tcW w:w="1416"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1587"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484" w:type="dxa"/>
            <w:vAlign w:val="center"/>
          </w:tcPr>
          <w:p>
            <w:pPr>
              <w:jc w:val="center"/>
              <w:rPr>
                <w:rFonts w:ascii="Times New Roman" w:hAnsi="Times New Roman" w:cs="Times New Roman"/>
                <w:szCs w:val="21"/>
              </w:rPr>
            </w:pPr>
          </w:p>
        </w:tc>
        <w:tc>
          <w:tcPr>
            <w:tcW w:w="1808"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6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vAlign w:val="center"/>
          </w:tcPr>
          <w:p>
            <w:pPr>
              <w:jc w:val="center"/>
              <w:rPr>
                <w:rFonts w:ascii="Times New Roman" w:hAnsi="Times New Roman" w:cs="Times New Roman"/>
              </w:rPr>
            </w:pPr>
            <w:r>
              <w:rPr>
                <w:rFonts w:ascii="Times New Roman" w:hAnsi="Times New Roman" w:eastAsia="Times New Roman" w:cs="Times New Roman"/>
                <w:position w:val="1"/>
                <w:sz w:val="18"/>
                <w:szCs w:val="18"/>
              </w:rPr>
              <w:t>骨架材料-聚酯纤维</w:t>
            </w:r>
          </w:p>
        </w:tc>
        <w:tc>
          <w:tcPr>
            <w:tcW w:w="625" w:type="dxa"/>
            <w:vAlign w:val="center"/>
          </w:tcPr>
          <w:p>
            <w:pPr>
              <w:jc w:val="center"/>
              <w:rPr>
                <w:rFonts w:ascii="Times New Roman" w:hAnsi="Times New Roman" w:cs="Times New Roman"/>
                <w:szCs w:val="21"/>
              </w:rPr>
            </w:pPr>
          </w:p>
        </w:tc>
        <w:tc>
          <w:tcPr>
            <w:tcW w:w="1416"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1587"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484" w:type="dxa"/>
            <w:vAlign w:val="center"/>
          </w:tcPr>
          <w:p>
            <w:pPr>
              <w:jc w:val="center"/>
              <w:rPr>
                <w:rFonts w:ascii="Times New Roman" w:hAnsi="Times New Roman" w:cs="Times New Roman"/>
                <w:szCs w:val="21"/>
              </w:rPr>
            </w:pPr>
          </w:p>
        </w:tc>
        <w:tc>
          <w:tcPr>
            <w:tcW w:w="1808"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6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658" w:type="dxa"/>
            <w:vAlign w:val="center"/>
          </w:tcPr>
          <w:p>
            <w:pPr>
              <w:pStyle w:val="28"/>
              <w:spacing w:line="131" w:lineRule="exact"/>
              <w:jc w:val="center"/>
              <w:rPr>
                <w:rFonts w:ascii="Times New Roman" w:hAnsi="Times New Roman" w:cs="Times New Roman" w:eastAsiaTheme="minorEastAsia"/>
              </w:rPr>
            </w:pPr>
            <w:r>
              <w:rPr>
                <w:rFonts w:ascii="Times New Roman" w:hAnsi="Times New Roman" w:cs="Times New Roman" w:eastAsiaTheme="minorEastAsia"/>
                <w:spacing w:val="-5"/>
                <w:position w:val="-3"/>
              </w:rPr>
              <w:t>……</w:t>
            </w:r>
          </w:p>
        </w:tc>
        <w:tc>
          <w:tcPr>
            <w:tcW w:w="625" w:type="dxa"/>
            <w:vAlign w:val="center"/>
          </w:tcPr>
          <w:p>
            <w:pPr>
              <w:jc w:val="center"/>
              <w:rPr>
                <w:rFonts w:ascii="Times New Roman" w:hAnsi="Times New Roman" w:cs="Times New Roman"/>
                <w:szCs w:val="21"/>
              </w:rPr>
            </w:pPr>
          </w:p>
        </w:tc>
        <w:tc>
          <w:tcPr>
            <w:tcW w:w="1416"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1587"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484" w:type="dxa"/>
            <w:vAlign w:val="center"/>
          </w:tcPr>
          <w:p>
            <w:pPr>
              <w:jc w:val="center"/>
              <w:rPr>
                <w:rFonts w:ascii="Times New Roman" w:hAnsi="Times New Roman" w:cs="Times New Roman"/>
                <w:szCs w:val="21"/>
              </w:rPr>
            </w:pPr>
          </w:p>
        </w:tc>
        <w:tc>
          <w:tcPr>
            <w:tcW w:w="1808" w:type="dxa"/>
            <w:vAlign w:val="center"/>
          </w:tcPr>
          <w:p>
            <w:pPr>
              <w:jc w:val="center"/>
              <w:rPr>
                <w:rFonts w:ascii="Times New Roman" w:hAnsi="Times New Roman" w:cs="Times New Roman"/>
                <w:szCs w:val="21"/>
              </w:rPr>
            </w:pPr>
          </w:p>
        </w:tc>
        <w:tc>
          <w:tcPr>
            <w:tcW w:w="454" w:type="dxa"/>
            <w:vAlign w:val="center"/>
          </w:tcPr>
          <w:p>
            <w:pPr>
              <w:jc w:val="center"/>
              <w:rPr>
                <w:rFonts w:ascii="Times New Roman" w:hAnsi="Times New Roman" w:cs="Times New Roman"/>
                <w:szCs w:val="21"/>
              </w:rPr>
            </w:pPr>
          </w:p>
        </w:tc>
        <w:tc>
          <w:tcPr>
            <w:tcW w:w="680" w:type="dxa"/>
            <w:vAlign w:val="center"/>
          </w:tcPr>
          <w:p>
            <w:pPr>
              <w:jc w:val="center"/>
              <w:rPr>
                <w:rFonts w:ascii="Times New Roman" w:hAnsi="Times New Roman" w:cs="Times New Roman"/>
                <w:szCs w:val="21"/>
              </w:rPr>
            </w:pPr>
          </w:p>
        </w:tc>
      </w:tr>
    </w:tbl>
    <w:p>
      <w:pPr>
        <w:spacing w:before="207"/>
        <w:outlineLvl w:val="0"/>
        <w:rPr>
          <w:rFonts w:ascii="黑体" w:hAnsi="黑体" w:eastAsia="黑体" w:cs="黑体"/>
          <w:szCs w:val="21"/>
        </w:rPr>
      </w:pPr>
      <w:bookmarkStart w:id="79" w:name="_Toc13375"/>
      <w:bookmarkStart w:id="80" w:name="_Toc7124"/>
      <w:bookmarkStart w:id="81" w:name="_Toc14284"/>
      <w:r>
        <w:rPr>
          <w:rFonts w:ascii="黑体" w:hAnsi="黑体" w:eastAsia="黑体" w:cs="黑体"/>
          <w:spacing w:val="-1"/>
          <w:szCs w:val="21"/>
        </w:rPr>
        <w:t>C.4.2 雪地轮胎产品生产阶段</w:t>
      </w:r>
      <w:bookmarkEnd w:id="79"/>
      <w:bookmarkEnd w:id="80"/>
      <w:bookmarkEnd w:id="81"/>
    </w:p>
    <w:p>
      <w:pPr>
        <w:spacing w:before="216"/>
        <w:ind w:left="129" w:right="133" w:firstLine="416"/>
        <w:rPr>
          <w:rFonts w:ascii="宋体" w:hAnsi="宋体" w:eastAsia="宋体" w:cs="宋体"/>
          <w:szCs w:val="21"/>
        </w:rPr>
      </w:pPr>
      <w:r>
        <w:rPr>
          <w:rFonts w:ascii="宋体" w:hAnsi="宋体" w:eastAsia="宋体" w:cs="宋体"/>
          <w:spacing w:val="2"/>
          <w:szCs w:val="21"/>
        </w:rPr>
        <w:t>雪地轮胎产品生产阶段碳排放的核算，应包括雪地轮胎产品密炼、挤出、压延、截断、成型、硫化等工艺过程，始</w:t>
      </w:r>
      <w:r>
        <w:rPr>
          <w:rFonts w:ascii="宋体" w:hAnsi="宋体" w:eastAsia="宋体" w:cs="宋体"/>
          <w:spacing w:val="-1"/>
          <w:szCs w:val="21"/>
        </w:rPr>
        <w:t>于原材料进入生产设施，结束于雪地轮胎产品离开生产</w:t>
      </w:r>
      <w:r>
        <w:rPr>
          <w:rFonts w:ascii="宋体" w:hAnsi="宋体" w:eastAsia="宋体" w:cs="宋体"/>
          <w:spacing w:val="-2"/>
          <w:szCs w:val="21"/>
        </w:rPr>
        <w:t>工厂。</w:t>
      </w:r>
    </w:p>
    <w:p>
      <w:pPr>
        <w:spacing w:before="31"/>
        <w:ind w:left="548"/>
        <w:rPr>
          <w:rFonts w:ascii="宋体" w:hAnsi="宋体" w:eastAsia="宋体" w:cs="宋体"/>
          <w:szCs w:val="21"/>
        </w:rPr>
      </w:pPr>
      <w:r>
        <w:rPr>
          <w:rFonts w:ascii="宋体" w:hAnsi="宋体" w:eastAsia="宋体" w:cs="宋体"/>
          <w:spacing w:val="-3"/>
          <w:szCs w:val="21"/>
        </w:rPr>
        <w:t>说明各种类型燃料的生命周期清单数据来源（</w:t>
      </w:r>
      <w:r>
        <w:rPr>
          <w:rFonts w:ascii="宋体" w:hAnsi="宋体" w:eastAsia="宋体" w:cs="宋体"/>
          <w:spacing w:val="-4"/>
          <w:szCs w:val="21"/>
        </w:rPr>
        <w:t>现场数据</w:t>
      </w:r>
      <w:r>
        <w:rPr>
          <w:rFonts w:ascii="Times New Roman" w:hAnsi="Times New Roman" w:eastAsia="Times New Roman" w:cs="Times New Roman"/>
          <w:spacing w:val="-4"/>
          <w:szCs w:val="21"/>
        </w:rPr>
        <w:t>/</w:t>
      </w:r>
      <w:r>
        <w:rPr>
          <w:rFonts w:ascii="宋体" w:hAnsi="宋体" w:eastAsia="宋体" w:cs="宋体"/>
          <w:spacing w:val="-4"/>
          <w:szCs w:val="21"/>
        </w:rPr>
        <w:t>次级数据</w:t>
      </w:r>
      <w:r>
        <w:rPr>
          <w:rFonts w:ascii="Times New Roman" w:hAnsi="Times New Roman" w:eastAsia="Times New Roman" w:cs="Times New Roman"/>
          <w:spacing w:val="-4"/>
          <w:szCs w:val="21"/>
        </w:rPr>
        <w:t>/</w:t>
      </w:r>
      <w:r>
        <w:rPr>
          <w:rFonts w:ascii="宋体" w:hAnsi="宋体" w:eastAsia="宋体" w:cs="宋体"/>
          <w:spacing w:val="-4"/>
          <w:szCs w:val="21"/>
        </w:rPr>
        <w:t>数据库数据）。</w:t>
      </w:r>
    </w:p>
    <w:p>
      <w:pPr>
        <w:spacing w:before="195" w:line="221" w:lineRule="auto"/>
        <w:ind w:left="1403"/>
        <w:rPr>
          <w:rFonts w:ascii="黑体" w:hAnsi="黑体" w:eastAsia="黑体" w:cs="黑体"/>
          <w:szCs w:val="21"/>
        </w:rPr>
      </w:pPr>
      <w:r>
        <w:rPr>
          <w:rFonts w:ascii="黑体" w:hAnsi="黑体" w:eastAsia="黑体" w:cs="黑体"/>
          <w:spacing w:val="-2"/>
          <w:szCs w:val="21"/>
        </w:rPr>
        <w:t>表</w:t>
      </w:r>
      <w:r>
        <w:rPr>
          <w:rFonts w:ascii="黑体" w:hAnsi="黑体" w:eastAsia="黑体" w:cs="黑体"/>
          <w:spacing w:val="-34"/>
          <w:szCs w:val="21"/>
        </w:rPr>
        <w:t xml:space="preserve"> </w:t>
      </w:r>
      <w:r>
        <w:rPr>
          <w:rFonts w:ascii="黑体" w:hAnsi="黑体" w:eastAsia="黑体" w:cs="宋体"/>
          <w:spacing w:val="-2"/>
          <w:szCs w:val="21"/>
        </w:rPr>
        <w:t>C.2</w:t>
      </w:r>
      <w:r>
        <w:rPr>
          <w:rFonts w:ascii="黑体" w:hAnsi="黑体" w:eastAsia="黑体" w:cs="宋体"/>
          <w:spacing w:val="-47"/>
          <w:szCs w:val="21"/>
        </w:rPr>
        <w:t xml:space="preserve"> </w:t>
      </w:r>
      <w:r>
        <w:rPr>
          <w:rFonts w:ascii="黑体" w:hAnsi="黑体" w:eastAsia="黑体" w:cs="黑体"/>
          <w:spacing w:val="-2"/>
          <w:szCs w:val="21"/>
        </w:rPr>
        <w:t>雪地轮胎产品生产阶段燃料</w:t>
      </w:r>
      <w:r>
        <w:rPr>
          <w:rFonts w:ascii="黑体" w:hAnsi="黑体" w:eastAsia="黑体" w:cs="宋体"/>
          <w:spacing w:val="-2"/>
          <w:szCs w:val="21"/>
        </w:rPr>
        <w:t>/</w:t>
      </w:r>
      <w:r>
        <w:rPr>
          <w:rFonts w:ascii="黑体" w:hAnsi="黑体" w:eastAsia="黑体" w:cs="黑体"/>
          <w:spacing w:val="-2"/>
          <w:szCs w:val="21"/>
        </w:rPr>
        <w:t>材料消耗</w:t>
      </w:r>
      <w:r>
        <w:rPr>
          <w:rFonts w:ascii="黑体" w:hAnsi="黑体" w:eastAsia="黑体" w:cs="宋体"/>
          <w:spacing w:val="-2"/>
          <w:szCs w:val="21"/>
        </w:rPr>
        <w:t>/CO</w:t>
      </w:r>
      <w:r>
        <w:rPr>
          <w:rFonts w:ascii="黑体" w:hAnsi="黑体" w:eastAsia="黑体" w:cs="宋体"/>
          <w:spacing w:val="-2"/>
          <w:szCs w:val="21"/>
          <w:vertAlign w:val="subscript"/>
        </w:rPr>
        <w:t>2</w:t>
      </w:r>
      <w:r>
        <w:rPr>
          <w:rFonts w:ascii="黑体" w:hAnsi="黑体" w:eastAsia="黑体" w:cs="宋体"/>
          <w:spacing w:val="-2"/>
          <w:szCs w:val="21"/>
        </w:rPr>
        <w:t xml:space="preserve"> </w:t>
      </w:r>
      <w:r>
        <w:rPr>
          <w:rFonts w:ascii="黑体" w:hAnsi="黑体" w:eastAsia="黑体" w:cs="黑体"/>
          <w:spacing w:val="-2"/>
          <w:szCs w:val="21"/>
        </w:rPr>
        <w:t>回收清单（请根据实际情况填写）</w:t>
      </w:r>
    </w:p>
    <w:p>
      <w:pPr>
        <w:spacing w:line="149" w:lineRule="exact"/>
      </w:pPr>
    </w:p>
    <w:tbl>
      <w:tblPr>
        <w:tblStyle w:val="29"/>
        <w:tblW w:w="9535" w:type="dxa"/>
        <w:tblInd w:w="7"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2418"/>
        <w:gridCol w:w="1617"/>
        <w:gridCol w:w="1376"/>
        <w:gridCol w:w="1372"/>
        <w:gridCol w:w="1372"/>
        <w:gridCol w:w="1380"/>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tcBorders>
              <w:bottom w:val="single" w:color="000000" w:sz="6" w:space="0"/>
            </w:tcBorders>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spacing w:val="-3"/>
              </w:rPr>
              <w:t>名称</w:t>
            </w:r>
          </w:p>
        </w:tc>
        <w:tc>
          <w:tcPr>
            <w:tcW w:w="1617" w:type="dxa"/>
            <w:tcBorders>
              <w:bottom w:val="single" w:color="000000" w:sz="6" w:space="0"/>
            </w:tcBorders>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spacing w:val="-3"/>
              </w:rPr>
              <w:t>单位</w:t>
            </w:r>
          </w:p>
        </w:tc>
        <w:tc>
          <w:tcPr>
            <w:tcW w:w="1373" w:type="dxa"/>
            <w:tcBorders>
              <w:bottom w:val="single" w:color="000000" w:sz="6" w:space="0"/>
            </w:tcBorders>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spacing w:val="-3"/>
              </w:rPr>
              <w:t>数量</w:t>
            </w:r>
          </w:p>
        </w:tc>
        <w:tc>
          <w:tcPr>
            <w:tcW w:w="1373" w:type="dxa"/>
            <w:tcBorders>
              <w:bottom w:val="single" w:color="000000" w:sz="6" w:space="0"/>
            </w:tcBorders>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spacing w:val="-2"/>
              </w:rPr>
              <w:t>碳排放因子</w:t>
            </w:r>
          </w:p>
        </w:tc>
        <w:tc>
          <w:tcPr>
            <w:tcW w:w="1373" w:type="dxa"/>
            <w:tcBorders>
              <w:bottom w:val="single" w:color="000000" w:sz="6" w:space="0"/>
            </w:tcBorders>
            <w:vAlign w:val="center"/>
          </w:tcPr>
          <w:p>
            <w:pPr>
              <w:pStyle w:val="28"/>
              <w:jc w:val="center"/>
              <w:rPr>
                <w:rFonts w:ascii="Times New Roman" w:hAnsi="Times New Roman" w:cs="Times New Roman" w:eastAsiaTheme="minorEastAsia"/>
                <w:b/>
              </w:rPr>
            </w:pPr>
            <w:r>
              <w:rPr>
                <w:rFonts w:ascii="Times New Roman" w:hAnsi="Times New Roman" w:cs="Times New Roman" w:eastAsiaTheme="minorEastAsia"/>
                <w:b/>
                <w:spacing w:val="-2"/>
              </w:rPr>
              <w:t>数据来源</w:t>
            </w:r>
          </w:p>
        </w:tc>
        <w:tc>
          <w:tcPr>
            <w:tcW w:w="1381" w:type="dxa"/>
            <w:tcBorders>
              <w:bottom w:val="single" w:color="000000" w:sz="6" w:space="0"/>
            </w:tcBorders>
            <w:vAlign w:val="center"/>
          </w:tcPr>
          <w:p>
            <w:pPr>
              <w:jc w:val="center"/>
              <w:rPr>
                <w:rFonts w:ascii="Times New Roman" w:hAnsi="Times New Roman" w:cs="Times New Roman"/>
                <w:b/>
                <w:szCs w:val="21"/>
              </w:rPr>
            </w:pPr>
            <w:r>
              <w:rPr>
                <w:rFonts w:ascii="Times New Roman" w:hAnsi="Times New Roman" w:cs="Times New Roman"/>
                <w:b/>
                <w:spacing w:val="-1"/>
                <w:szCs w:val="21"/>
              </w:rPr>
              <w:t>DQR</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tcBorders>
              <w:top w:val="single" w:color="000000" w:sz="6"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rPr>
              <w:t>电</w:t>
            </w:r>
          </w:p>
        </w:tc>
        <w:tc>
          <w:tcPr>
            <w:tcW w:w="1617" w:type="dxa"/>
            <w:tcBorders>
              <w:top w:val="single" w:color="000000" w:sz="6" w:space="0"/>
            </w:tcBorders>
            <w:vAlign w:val="center"/>
          </w:tcPr>
          <w:p>
            <w:pPr>
              <w:jc w:val="center"/>
              <w:rPr>
                <w:rFonts w:ascii="Times New Roman" w:hAnsi="Times New Roman" w:cs="Times New Roman"/>
                <w:szCs w:val="21"/>
              </w:rPr>
            </w:pPr>
            <w:r>
              <w:rPr>
                <w:rFonts w:ascii="Times New Roman" w:hAnsi="Times New Roman" w:cs="Times New Roman"/>
                <w:spacing w:val="-1"/>
                <w:szCs w:val="21"/>
              </w:rPr>
              <w:t>kWh</w:t>
            </w:r>
          </w:p>
        </w:tc>
        <w:tc>
          <w:tcPr>
            <w:tcW w:w="1373" w:type="dxa"/>
            <w:tcBorders>
              <w:top w:val="single" w:color="000000" w:sz="6" w:space="0"/>
            </w:tcBorders>
            <w:vAlign w:val="center"/>
          </w:tcPr>
          <w:p>
            <w:pPr>
              <w:jc w:val="center"/>
              <w:rPr>
                <w:rFonts w:ascii="Times New Roman" w:hAnsi="Times New Roman" w:cs="Times New Roman"/>
                <w:szCs w:val="21"/>
              </w:rPr>
            </w:pPr>
          </w:p>
        </w:tc>
        <w:tc>
          <w:tcPr>
            <w:tcW w:w="1373" w:type="dxa"/>
            <w:tcBorders>
              <w:top w:val="single" w:color="000000" w:sz="6" w:space="0"/>
            </w:tcBorders>
            <w:vAlign w:val="center"/>
          </w:tcPr>
          <w:p>
            <w:pPr>
              <w:jc w:val="center"/>
              <w:rPr>
                <w:rFonts w:ascii="Times New Roman" w:hAnsi="Times New Roman" w:cs="Times New Roman"/>
                <w:szCs w:val="21"/>
              </w:rPr>
            </w:pPr>
          </w:p>
        </w:tc>
        <w:tc>
          <w:tcPr>
            <w:tcW w:w="1373" w:type="dxa"/>
            <w:tcBorders>
              <w:top w:val="single" w:color="000000" w:sz="6" w:space="0"/>
            </w:tcBorders>
            <w:vAlign w:val="center"/>
          </w:tcPr>
          <w:p>
            <w:pPr>
              <w:jc w:val="center"/>
              <w:rPr>
                <w:rFonts w:ascii="Times New Roman" w:hAnsi="Times New Roman" w:cs="Times New Roman"/>
                <w:szCs w:val="21"/>
              </w:rPr>
            </w:pPr>
          </w:p>
        </w:tc>
        <w:tc>
          <w:tcPr>
            <w:tcW w:w="1381"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3"/>
              </w:rPr>
              <w:t>天然气</w:t>
            </w:r>
          </w:p>
        </w:tc>
        <w:tc>
          <w:tcPr>
            <w:tcW w:w="1617" w:type="dxa"/>
            <w:vAlign w:val="center"/>
          </w:tcPr>
          <w:p>
            <w:pPr>
              <w:jc w:val="center"/>
              <w:rPr>
                <w:rFonts w:ascii="Times New Roman" w:hAnsi="Times New Roman" w:cs="Times New Roman"/>
                <w:szCs w:val="21"/>
              </w:rPr>
            </w:pPr>
            <w:r>
              <w:rPr>
                <w:rFonts w:ascii="Times New Roman" w:hAnsi="Times New Roman" w:cs="Times New Roman"/>
                <w:spacing w:val="-1"/>
                <w:position w:val="-3"/>
                <w:szCs w:val="21"/>
              </w:rPr>
              <w:t>m</w:t>
            </w:r>
            <w:r>
              <w:rPr>
                <w:rFonts w:hint="eastAsia" w:ascii="Times New Roman" w:hAnsi="Times New Roman" w:cs="Times New Roman"/>
                <w:spacing w:val="-1"/>
                <w:position w:val="-3"/>
                <w:szCs w:val="21"/>
                <w:vertAlign w:val="superscript"/>
              </w:rPr>
              <w:t>3</w:t>
            </w:r>
          </w:p>
        </w:tc>
        <w:tc>
          <w:tcPr>
            <w:tcW w:w="1373"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1"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rPr>
              <w:t>煤</w:t>
            </w:r>
          </w:p>
        </w:tc>
        <w:tc>
          <w:tcPr>
            <w:tcW w:w="1617"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c>
          <w:tcPr>
            <w:tcW w:w="1373"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1"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汽油</w:t>
            </w:r>
          </w:p>
        </w:tc>
        <w:tc>
          <w:tcPr>
            <w:tcW w:w="1614" w:type="dxa"/>
            <w:vAlign w:val="center"/>
          </w:tcPr>
          <w:p>
            <w:pPr>
              <w:jc w:val="center"/>
              <w:rPr>
                <w:rFonts w:ascii="Times New Roman" w:hAnsi="Times New Roman" w:cs="Times New Roman"/>
                <w:szCs w:val="21"/>
              </w:rPr>
            </w:pPr>
            <w:r>
              <w:rPr>
                <w:rFonts w:ascii="Times New Roman" w:hAnsi="Times New Roman" w:cs="Times New Roman"/>
                <w:szCs w:val="21"/>
              </w:rPr>
              <w:t>L</w:t>
            </w: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柴油</w:t>
            </w:r>
          </w:p>
        </w:tc>
        <w:tc>
          <w:tcPr>
            <w:tcW w:w="1614" w:type="dxa"/>
            <w:vAlign w:val="center"/>
          </w:tcPr>
          <w:p>
            <w:pPr>
              <w:jc w:val="center"/>
              <w:rPr>
                <w:rFonts w:ascii="Times New Roman" w:hAnsi="Times New Roman" w:cs="Times New Roman"/>
                <w:szCs w:val="21"/>
              </w:rPr>
            </w:pPr>
            <w:r>
              <w:rPr>
                <w:rFonts w:ascii="Times New Roman" w:hAnsi="Times New Roman" w:cs="Times New Roman"/>
                <w:szCs w:val="21"/>
              </w:rPr>
              <w:t>L</w:t>
            </w: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2"/>
                <w:lang w:eastAsia="zh-CN"/>
              </w:rPr>
              <w:t>外购蒸汽（需备注压强）</w:t>
            </w:r>
          </w:p>
        </w:tc>
        <w:tc>
          <w:tcPr>
            <w:tcW w:w="1614"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干冰</w:t>
            </w:r>
          </w:p>
        </w:tc>
        <w:tc>
          <w:tcPr>
            <w:tcW w:w="1614"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5"/>
              </w:rPr>
              <w:t>CO</w:t>
            </w:r>
            <w:r>
              <w:rPr>
                <w:rFonts w:ascii="Times New Roman" w:hAnsi="Times New Roman" w:cs="Times New Roman" w:eastAsiaTheme="minorEastAsia"/>
                <w:spacing w:val="-5"/>
                <w:position w:val="-2"/>
                <w:vertAlign w:val="subscript"/>
              </w:rPr>
              <w:t>2</w:t>
            </w:r>
            <w:r>
              <w:rPr>
                <w:rFonts w:ascii="Times New Roman" w:hAnsi="Times New Roman" w:cs="Times New Roman" w:eastAsiaTheme="minorEastAsia"/>
                <w:spacing w:val="-5"/>
                <w:position w:val="-2"/>
              </w:rPr>
              <w:t xml:space="preserve"> </w:t>
            </w:r>
            <w:r>
              <w:rPr>
                <w:rFonts w:ascii="Times New Roman" w:hAnsi="Times New Roman" w:cs="Times New Roman" w:eastAsiaTheme="minorEastAsia"/>
                <w:spacing w:val="-5"/>
              </w:rPr>
              <w:t>回收</w:t>
            </w:r>
          </w:p>
        </w:tc>
        <w:tc>
          <w:tcPr>
            <w:tcW w:w="1614"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spacing w:val="-5"/>
                <w:position w:val="-3"/>
              </w:rPr>
            </w:pPr>
            <w:r>
              <w:rPr>
                <w:rFonts w:ascii="Times New Roman" w:hAnsi="Times New Roman" w:cs="Times New Roman" w:eastAsiaTheme="minorEastAsia"/>
                <w:spacing w:val="-5"/>
                <w:position w:val="-3"/>
              </w:rPr>
              <w:t>轮胎废弃</w:t>
            </w:r>
          </w:p>
        </w:tc>
        <w:tc>
          <w:tcPr>
            <w:tcW w:w="1614" w:type="dxa"/>
            <w:vAlign w:val="center"/>
          </w:tcPr>
          <w:p>
            <w:pPr>
              <w:jc w:val="center"/>
              <w:rPr>
                <w:rFonts w:ascii="Times New Roman" w:hAnsi="Times New Roman" w:cs="Times New Roman"/>
                <w:szCs w:val="21"/>
              </w:rPr>
            </w:pPr>
            <w:r>
              <w:rPr>
                <w:rFonts w:ascii="Times New Roman" w:hAnsi="Times New Roman" w:cs="Times New Roman"/>
                <w:szCs w:val="21"/>
              </w:rPr>
              <w:t>kg</w:t>
            </w: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418"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5"/>
                <w:position w:val="-3"/>
              </w:rPr>
              <w:t>……</w:t>
            </w:r>
          </w:p>
        </w:tc>
        <w:tc>
          <w:tcPr>
            <w:tcW w:w="1614" w:type="dxa"/>
            <w:vAlign w:val="center"/>
          </w:tcPr>
          <w:p>
            <w:pPr>
              <w:jc w:val="center"/>
              <w:rPr>
                <w:rFonts w:ascii="Times New Roman" w:hAnsi="Times New Roman" w:cs="Times New Roman"/>
                <w:szCs w:val="21"/>
              </w:rPr>
            </w:pPr>
          </w:p>
        </w:tc>
        <w:tc>
          <w:tcPr>
            <w:tcW w:w="1377" w:type="dxa"/>
            <w:vAlign w:val="center"/>
          </w:tcPr>
          <w:p>
            <w:pPr>
              <w:jc w:val="center"/>
              <w:rPr>
                <w:rFonts w:ascii="Times New Roman" w:hAnsi="Times New Roman" w:cs="Times New Roman"/>
                <w:szCs w:val="21"/>
              </w:rPr>
            </w:pPr>
          </w:p>
        </w:tc>
        <w:tc>
          <w:tcPr>
            <w:tcW w:w="1372" w:type="dxa"/>
            <w:vAlign w:val="center"/>
          </w:tcPr>
          <w:p>
            <w:pPr>
              <w:jc w:val="center"/>
              <w:rPr>
                <w:rFonts w:ascii="Times New Roman" w:hAnsi="Times New Roman" w:cs="Times New Roman"/>
                <w:szCs w:val="21"/>
              </w:rPr>
            </w:pPr>
          </w:p>
        </w:tc>
        <w:tc>
          <w:tcPr>
            <w:tcW w:w="1373" w:type="dxa"/>
            <w:vAlign w:val="center"/>
          </w:tcPr>
          <w:p>
            <w:pPr>
              <w:jc w:val="center"/>
              <w:rPr>
                <w:rFonts w:ascii="Times New Roman" w:hAnsi="Times New Roman" w:cs="Times New Roman"/>
                <w:szCs w:val="21"/>
              </w:rPr>
            </w:pPr>
          </w:p>
        </w:tc>
        <w:tc>
          <w:tcPr>
            <w:tcW w:w="1380" w:type="dxa"/>
            <w:vAlign w:val="center"/>
          </w:tcPr>
          <w:p>
            <w:pPr>
              <w:jc w:val="center"/>
              <w:rPr>
                <w:rFonts w:ascii="Times New Roman" w:hAnsi="Times New Roman" w:cs="Times New Roman"/>
                <w:szCs w:val="21"/>
              </w:rPr>
            </w:pPr>
          </w:p>
        </w:tc>
      </w:tr>
    </w:tbl>
    <w:p>
      <w:pPr>
        <w:spacing w:before="206" w:line="223" w:lineRule="auto"/>
        <w:ind w:left="126"/>
        <w:outlineLvl w:val="0"/>
        <w:rPr>
          <w:rFonts w:ascii="黑体" w:hAnsi="黑体" w:eastAsia="黑体" w:cs="黑体"/>
          <w:spacing w:val="-1"/>
          <w:szCs w:val="21"/>
        </w:rPr>
      </w:pPr>
      <w:bookmarkStart w:id="82" w:name="_Toc7437"/>
      <w:bookmarkStart w:id="83" w:name="_Toc4612"/>
      <w:bookmarkStart w:id="84" w:name="_Toc21970"/>
    </w:p>
    <w:p>
      <w:pPr>
        <w:spacing w:before="206" w:line="223" w:lineRule="auto"/>
        <w:ind w:left="126"/>
        <w:outlineLvl w:val="0"/>
        <w:rPr>
          <w:rFonts w:ascii="黑体" w:hAnsi="黑体" w:eastAsia="黑体" w:cs="黑体"/>
          <w:spacing w:val="-1"/>
          <w:szCs w:val="21"/>
        </w:rPr>
      </w:pPr>
    </w:p>
    <w:p>
      <w:pPr>
        <w:spacing w:before="206" w:line="223" w:lineRule="auto"/>
        <w:ind w:left="126"/>
        <w:outlineLvl w:val="0"/>
        <w:rPr>
          <w:rFonts w:ascii="黑体" w:hAnsi="黑体" w:eastAsia="黑体" w:cs="黑体"/>
          <w:spacing w:val="-1"/>
          <w:szCs w:val="21"/>
        </w:rPr>
      </w:pPr>
    </w:p>
    <w:p>
      <w:pPr>
        <w:spacing w:before="206" w:line="223" w:lineRule="auto"/>
        <w:ind w:left="126"/>
        <w:outlineLvl w:val="0"/>
        <w:rPr>
          <w:rFonts w:ascii="黑体" w:hAnsi="黑体" w:eastAsia="黑体" w:cs="黑体"/>
          <w:spacing w:val="-1"/>
          <w:szCs w:val="21"/>
        </w:rPr>
      </w:pPr>
    </w:p>
    <w:p>
      <w:pPr>
        <w:spacing w:before="206" w:line="223" w:lineRule="auto"/>
        <w:ind w:left="126"/>
        <w:outlineLvl w:val="0"/>
        <w:rPr>
          <w:rFonts w:ascii="黑体" w:hAnsi="黑体" w:eastAsia="黑体" w:cs="黑体"/>
          <w:spacing w:val="-1"/>
          <w:szCs w:val="21"/>
        </w:rPr>
      </w:pPr>
    </w:p>
    <w:p>
      <w:pPr>
        <w:spacing w:before="206" w:line="223" w:lineRule="auto"/>
        <w:ind w:left="126"/>
        <w:outlineLvl w:val="0"/>
        <w:rPr>
          <w:rFonts w:ascii="黑体" w:hAnsi="黑体" w:eastAsia="黑体" w:cs="黑体"/>
          <w:spacing w:val="-1"/>
          <w:szCs w:val="21"/>
        </w:rPr>
      </w:pPr>
    </w:p>
    <w:p>
      <w:pPr>
        <w:spacing w:before="206" w:line="223" w:lineRule="auto"/>
        <w:ind w:left="126"/>
        <w:outlineLvl w:val="0"/>
        <w:rPr>
          <w:rFonts w:ascii="黑体" w:hAnsi="黑体" w:eastAsia="黑体" w:cs="黑体"/>
          <w:spacing w:val="-1"/>
          <w:szCs w:val="21"/>
        </w:rPr>
      </w:pPr>
    </w:p>
    <w:p>
      <w:pPr>
        <w:spacing w:before="206" w:line="223" w:lineRule="auto"/>
        <w:ind w:left="126"/>
        <w:outlineLvl w:val="0"/>
        <w:rPr>
          <w:rFonts w:ascii="黑体" w:hAnsi="黑体" w:eastAsia="黑体" w:cs="黑体"/>
          <w:szCs w:val="21"/>
        </w:rPr>
      </w:pPr>
      <w:r>
        <w:rPr>
          <w:sz w:val="39"/>
        </w:rPr>
        <mc:AlternateContent>
          <mc:Choice Requires="wps">
            <w:drawing>
              <wp:anchor distT="0" distB="0" distL="114300" distR="114300" simplePos="0" relativeHeight="251684864" behindDoc="0" locked="0" layoutInCell="1" allowOverlap="1">
                <wp:simplePos x="0" y="0"/>
                <wp:positionH relativeFrom="column">
                  <wp:posOffset>-73660</wp:posOffset>
                </wp:positionH>
                <wp:positionV relativeFrom="paragraph">
                  <wp:posOffset>14605</wp:posOffset>
                </wp:positionV>
                <wp:extent cx="6265545" cy="8639175"/>
                <wp:effectExtent l="0" t="0" r="20955" b="28575"/>
                <wp:wrapNone/>
                <wp:docPr id="15" name="矩形 15"/>
                <wp:cNvGraphicFramePr/>
                <a:graphic xmlns:a="http://schemas.openxmlformats.org/drawingml/2006/main">
                  <a:graphicData uri="http://schemas.microsoft.com/office/word/2010/wordprocessingShape">
                    <wps:wsp>
                      <wps:cNvSpPr/>
                      <wps:spPr>
                        <a:xfrm>
                          <a:off x="0" y="0"/>
                          <a:ext cx="6265545" cy="863917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5.8pt;margin-top:1.15pt;height:680.25pt;width:493.35pt;z-index:251684864;v-text-anchor:middle;mso-width-relative:page;mso-height-relative:page;" filled="f" stroked="t" coordsize="21600,21600" o:gfxdata="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AJG0AjZAAAACgEAAA8AAAAAAAAAAQAgAAAAOAAAAGRycy9kb3ducmV2Lnht&#10;bFBLAQIUABQAAAAIAIdO4kB19IrzVAIAAI8EAAAOAAAAAAAAAAEAIAAAAD4BAABkcnMvZTJvRG9j&#10;LnhtbFBLBQYAAAAABgAGAFkBAAAEBgAAAAA=&#10;">
                <v:fill on="f" focussize="0,0"/>
                <v:stroke weight="1pt" color="#000000 [3213]" miterlimit="8" joinstyle="miter"/>
                <v:imagedata o:title=""/>
                <o:lock v:ext="edit" aspectratio="f"/>
              </v:rect>
            </w:pict>
          </mc:Fallback>
        </mc:AlternateContent>
      </w:r>
      <w:r>
        <w:rPr>
          <w:rFonts w:ascii="黑体" w:hAnsi="黑体" w:eastAsia="黑体" w:cs="黑体"/>
          <w:spacing w:val="-1"/>
          <w:szCs w:val="21"/>
        </w:rPr>
        <w:t>C.4.3 雪地轮胎产品使用阶段</w:t>
      </w:r>
      <w:bookmarkEnd w:id="82"/>
      <w:bookmarkEnd w:id="83"/>
      <w:bookmarkEnd w:id="84"/>
    </w:p>
    <w:p>
      <w:pPr>
        <w:spacing w:before="214" w:line="221" w:lineRule="auto"/>
        <w:ind w:left="545"/>
        <w:rPr>
          <w:rFonts w:ascii="宋体" w:hAnsi="宋体" w:eastAsia="宋体" w:cs="宋体"/>
          <w:szCs w:val="21"/>
        </w:rPr>
      </w:pPr>
      <w:r>
        <w:rPr>
          <w:rFonts w:ascii="宋体" w:hAnsi="宋体" w:eastAsia="宋体" w:cs="宋体"/>
          <w:spacing w:val="-1"/>
          <w:szCs w:val="21"/>
        </w:rPr>
        <w:t>应填写使用阶段计算使用的主要参数，见表</w:t>
      </w:r>
      <w:r>
        <w:rPr>
          <w:rFonts w:hint="eastAsia" w:ascii="宋体" w:hAnsi="宋体" w:eastAsia="宋体" w:cs="宋体"/>
          <w:spacing w:val="-1"/>
          <w:szCs w:val="21"/>
        </w:rPr>
        <w:t>C</w:t>
      </w:r>
      <w:r>
        <w:rPr>
          <w:rFonts w:ascii="宋体" w:hAnsi="宋体" w:eastAsia="宋体" w:cs="宋体"/>
          <w:spacing w:val="-1"/>
          <w:szCs w:val="21"/>
        </w:rPr>
        <w:t>.3。</w:t>
      </w:r>
    </w:p>
    <w:p>
      <w:pPr>
        <w:spacing w:before="195" w:line="223" w:lineRule="auto"/>
        <w:ind w:left="3518"/>
        <w:rPr>
          <w:rFonts w:ascii="黑体" w:hAnsi="黑体" w:eastAsia="黑体" w:cs="黑体"/>
          <w:szCs w:val="21"/>
        </w:rPr>
      </w:pPr>
      <w:r>
        <w:rPr>
          <w:rFonts w:ascii="黑体" w:hAnsi="黑体" w:eastAsia="黑体" w:cs="黑体"/>
          <w:spacing w:val="-2"/>
          <w:szCs w:val="21"/>
        </w:rPr>
        <w:t>表</w:t>
      </w:r>
      <w:r>
        <w:rPr>
          <w:rFonts w:ascii="黑体" w:hAnsi="黑体" w:eastAsia="黑体" w:cs="黑体"/>
          <w:spacing w:val="-34"/>
          <w:szCs w:val="21"/>
        </w:rPr>
        <w:t xml:space="preserve"> </w:t>
      </w:r>
      <w:r>
        <w:rPr>
          <w:rFonts w:ascii="黑体" w:hAnsi="黑体" w:eastAsia="黑体" w:cs="宋体"/>
          <w:spacing w:val="-2"/>
          <w:szCs w:val="21"/>
        </w:rPr>
        <w:t>C.</w:t>
      </w:r>
      <w:r>
        <w:rPr>
          <w:rFonts w:hint="eastAsia" w:ascii="黑体" w:hAnsi="黑体" w:eastAsia="黑体" w:cs="宋体"/>
          <w:spacing w:val="-2"/>
          <w:szCs w:val="21"/>
        </w:rPr>
        <w:t>3</w:t>
      </w:r>
      <w:r>
        <w:rPr>
          <w:rFonts w:ascii="黑体" w:hAnsi="黑体" w:eastAsia="黑体" w:cs="宋体"/>
          <w:spacing w:val="-2"/>
          <w:szCs w:val="21"/>
        </w:rPr>
        <w:t xml:space="preserve"> </w:t>
      </w:r>
      <w:r>
        <w:rPr>
          <w:rFonts w:ascii="黑体" w:hAnsi="黑体" w:eastAsia="黑体" w:cs="黑体"/>
          <w:spacing w:val="-2"/>
          <w:szCs w:val="21"/>
        </w:rPr>
        <w:t>使用阶段的计算参数</w:t>
      </w:r>
    </w:p>
    <w:p>
      <w:pPr>
        <w:spacing w:line="144" w:lineRule="exact"/>
      </w:pPr>
    </w:p>
    <w:tbl>
      <w:tblPr>
        <w:tblStyle w:val="29"/>
        <w:tblW w:w="9576" w:type="dxa"/>
        <w:tblInd w:w="7"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2723"/>
        <w:gridCol w:w="980"/>
        <w:gridCol w:w="1132"/>
        <w:gridCol w:w="2474"/>
        <w:gridCol w:w="1094"/>
        <w:gridCol w:w="1173"/>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2723" w:type="dxa"/>
            <w:tcBorders>
              <w:bottom w:val="single" w:color="000000" w:sz="6" w:space="0"/>
            </w:tcBorders>
            <w:vAlign w:val="center"/>
          </w:tcPr>
          <w:p>
            <w:pPr>
              <w:pStyle w:val="28"/>
              <w:jc w:val="center"/>
              <w:rPr>
                <w:rFonts w:asciiTheme="minorEastAsia" w:hAnsiTheme="minorEastAsia" w:eastAsiaTheme="minorEastAsia"/>
                <w:b/>
              </w:rPr>
            </w:pPr>
            <w:r>
              <w:rPr>
                <w:rFonts w:asciiTheme="minorEastAsia" w:hAnsiTheme="minorEastAsia" w:eastAsiaTheme="minorEastAsia"/>
                <w:b/>
                <w:bCs/>
                <w:spacing w:val="-4"/>
              </w:rPr>
              <w:t>参数</w:t>
            </w:r>
          </w:p>
        </w:tc>
        <w:tc>
          <w:tcPr>
            <w:tcW w:w="980" w:type="dxa"/>
            <w:tcBorders>
              <w:bottom w:val="single" w:color="000000" w:sz="6" w:space="0"/>
            </w:tcBorders>
            <w:vAlign w:val="center"/>
          </w:tcPr>
          <w:p>
            <w:pPr>
              <w:pStyle w:val="28"/>
              <w:jc w:val="center"/>
              <w:rPr>
                <w:rFonts w:asciiTheme="minorEastAsia" w:hAnsiTheme="minorEastAsia" w:eastAsiaTheme="minorEastAsia"/>
                <w:b/>
              </w:rPr>
            </w:pPr>
            <w:r>
              <w:rPr>
                <w:rFonts w:asciiTheme="minorEastAsia" w:hAnsiTheme="minorEastAsia" w:eastAsiaTheme="minorEastAsia"/>
                <w:b/>
                <w:bCs/>
                <w:spacing w:val="-5"/>
              </w:rPr>
              <w:t>结果</w:t>
            </w:r>
          </w:p>
        </w:tc>
        <w:tc>
          <w:tcPr>
            <w:tcW w:w="1132" w:type="dxa"/>
            <w:tcBorders>
              <w:bottom w:val="single" w:color="000000" w:sz="6" w:space="0"/>
            </w:tcBorders>
            <w:vAlign w:val="center"/>
          </w:tcPr>
          <w:p>
            <w:pPr>
              <w:pStyle w:val="28"/>
              <w:jc w:val="center"/>
              <w:rPr>
                <w:rFonts w:asciiTheme="minorEastAsia" w:hAnsiTheme="minorEastAsia" w:eastAsiaTheme="minorEastAsia"/>
                <w:b/>
              </w:rPr>
            </w:pPr>
            <w:r>
              <w:rPr>
                <w:rFonts w:asciiTheme="minorEastAsia" w:hAnsiTheme="minorEastAsia" w:eastAsiaTheme="minorEastAsia"/>
                <w:b/>
                <w:bCs/>
                <w:spacing w:val="-4"/>
              </w:rPr>
              <w:t>单位</w:t>
            </w:r>
          </w:p>
        </w:tc>
        <w:tc>
          <w:tcPr>
            <w:tcW w:w="2474" w:type="dxa"/>
            <w:tcBorders>
              <w:bottom w:val="single" w:color="000000" w:sz="6" w:space="0"/>
            </w:tcBorders>
            <w:vAlign w:val="center"/>
          </w:tcPr>
          <w:p>
            <w:pPr>
              <w:pStyle w:val="28"/>
              <w:jc w:val="center"/>
              <w:rPr>
                <w:rFonts w:asciiTheme="minorEastAsia" w:hAnsiTheme="minorEastAsia" w:eastAsiaTheme="minorEastAsia"/>
                <w:b/>
              </w:rPr>
            </w:pPr>
            <w:r>
              <w:rPr>
                <w:rFonts w:asciiTheme="minorEastAsia" w:hAnsiTheme="minorEastAsia" w:eastAsiaTheme="minorEastAsia"/>
                <w:b/>
                <w:bCs/>
                <w:spacing w:val="-4"/>
              </w:rPr>
              <w:t>参数</w:t>
            </w:r>
          </w:p>
        </w:tc>
        <w:tc>
          <w:tcPr>
            <w:tcW w:w="1094" w:type="dxa"/>
            <w:tcBorders>
              <w:bottom w:val="single" w:color="000000" w:sz="6" w:space="0"/>
            </w:tcBorders>
            <w:vAlign w:val="center"/>
          </w:tcPr>
          <w:p>
            <w:pPr>
              <w:pStyle w:val="28"/>
              <w:jc w:val="center"/>
              <w:rPr>
                <w:rFonts w:asciiTheme="minorEastAsia" w:hAnsiTheme="minorEastAsia" w:eastAsiaTheme="minorEastAsia"/>
                <w:b/>
              </w:rPr>
            </w:pPr>
            <w:r>
              <w:rPr>
                <w:rFonts w:asciiTheme="minorEastAsia" w:hAnsiTheme="minorEastAsia" w:eastAsiaTheme="minorEastAsia"/>
                <w:b/>
                <w:bCs/>
                <w:spacing w:val="-5"/>
              </w:rPr>
              <w:t>结果</w:t>
            </w:r>
          </w:p>
        </w:tc>
        <w:tc>
          <w:tcPr>
            <w:tcW w:w="1173" w:type="dxa"/>
            <w:tcBorders>
              <w:bottom w:val="single" w:color="000000" w:sz="6" w:space="0"/>
            </w:tcBorders>
            <w:vAlign w:val="center"/>
          </w:tcPr>
          <w:p>
            <w:pPr>
              <w:pStyle w:val="28"/>
              <w:jc w:val="center"/>
              <w:rPr>
                <w:rFonts w:asciiTheme="minorEastAsia" w:hAnsiTheme="minorEastAsia" w:eastAsiaTheme="minorEastAsia"/>
                <w:b/>
              </w:rPr>
            </w:pPr>
            <w:r>
              <w:rPr>
                <w:rFonts w:asciiTheme="minorEastAsia" w:hAnsiTheme="minorEastAsia" w:eastAsiaTheme="minorEastAsia"/>
                <w:b/>
                <w:bCs/>
                <w:spacing w:val="-4"/>
              </w:rPr>
              <w:t>单位</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723" w:type="dxa"/>
            <w:tcBorders>
              <w:top w:val="single" w:color="000000" w:sz="6" w:space="0"/>
            </w:tcBorders>
            <w:vAlign w:val="center"/>
          </w:tcPr>
          <w:p>
            <w:pPr>
              <w:pStyle w:val="28"/>
              <w:jc w:val="center"/>
              <w:rPr>
                <w:rFonts w:asciiTheme="minorEastAsia" w:hAnsiTheme="minorEastAsia" w:eastAsiaTheme="minorEastAsia"/>
                <w:lang w:eastAsia="zh-CN"/>
              </w:rPr>
            </w:pPr>
            <w:r>
              <w:rPr>
                <w:rFonts w:asciiTheme="minorEastAsia" w:hAnsiTheme="minorEastAsia" w:eastAsiaTheme="minorEastAsia"/>
                <w:spacing w:val="-1"/>
                <w:lang w:eastAsia="zh-CN"/>
              </w:rPr>
              <w:t>雪地轮胎产品滚动阻力系数</w:t>
            </w:r>
          </w:p>
        </w:tc>
        <w:tc>
          <w:tcPr>
            <w:tcW w:w="980" w:type="dxa"/>
            <w:tcBorders>
              <w:top w:val="single" w:color="000000" w:sz="6" w:space="0"/>
            </w:tcBorders>
            <w:vAlign w:val="center"/>
          </w:tcPr>
          <w:p>
            <w:pPr>
              <w:jc w:val="center"/>
              <w:rPr>
                <w:rFonts w:asciiTheme="minorEastAsia" w:hAnsiTheme="minorEastAsia"/>
                <w:szCs w:val="21"/>
              </w:rPr>
            </w:pPr>
          </w:p>
        </w:tc>
        <w:tc>
          <w:tcPr>
            <w:tcW w:w="1132" w:type="dxa"/>
            <w:tcBorders>
              <w:top w:val="single" w:color="000000" w:sz="6" w:space="0"/>
            </w:tcBorders>
            <w:vAlign w:val="center"/>
          </w:tcPr>
          <w:p>
            <w:pPr>
              <w:jc w:val="center"/>
              <w:rPr>
                <w:rFonts w:ascii="Times New Roman" w:hAnsi="Times New Roman" w:cs="Times New Roman"/>
                <w:szCs w:val="21"/>
              </w:rPr>
            </w:pPr>
            <w:r>
              <w:rPr>
                <w:rFonts w:ascii="Times New Roman" w:hAnsi="Times New Roman" w:cs="Times New Roman"/>
                <w:szCs w:val="21"/>
              </w:rPr>
              <w:t>N/kN</w:t>
            </w:r>
          </w:p>
        </w:tc>
        <w:tc>
          <w:tcPr>
            <w:tcW w:w="2474" w:type="dxa"/>
            <w:tcBorders>
              <w:top w:val="single" w:color="000000" w:sz="6" w:space="0"/>
            </w:tcBorders>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雪地轮胎产品负荷能力</w:t>
            </w:r>
          </w:p>
        </w:tc>
        <w:tc>
          <w:tcPr>
            <w:tcW w:w="1094" w:type="dxa"/>
            <w:tcBorders>
              <w:top w:val="single" w:color="000000" w:sz="6" w:space="0"/>
            </w:tcBorders>
            <w:vAlign w:val="center"/>
          </w:tcPr>
          <w:p>
            <w:pPr>
              <w:jc w:val="center"/>
              <w:rPr>
                <w:rFonts w:ascii="Times New Roman" w:hAnsi="Times New Roman" w:cs="Times New Roman"/>
                <w:szCs w:val="21"/>
              </w:rPr>
            </w:pPr>
          </w:p>
        </w:tc>
        <w:tc>
          <w:tcPr>
            <w:tcW w:w="1173" w:type="dxa"/>
            <w:tcBorders>
              <w:top w:val="single" w:color="000000" w:sz="6" w:space="0"/>
            </w:tcBorders>
            <w:vAlign w:val="center"/>
          </w:tcPr>
          <w:p>
            <w:pPr>
              <w:jc w:val="center"/>
              <w:rPr>
                <w:rFonts w:ascii="Times New Roman" w:hAnsi="Times New Roman" w:cs="Times New Roman"/>
                <w:szCs w:val="21"/>
              </w:rPr>
            </w:pPr>
            <w:r>
              <w:rPr>
                <w:rFonts w:ascii="Times New Roman" w:hAnsi="Times New Roman" w:cs="Times New Roman"/>
                <w:spacing w:val="-1"/>
                <w:szCs w:val="21"/>
              </w:rPr>
              <w:t>kg</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723" w:type="dxa"/>
            <w:vAlign w:val="center"/>
          </w:tcPr>
          <w:p>
            <w:pPr>
              <w:jc w:val="center"/>
              <w:rPr>
                <w:rFonts w:asciiTheme="minorEastAsia" w:hAnsiTheme="minorEastAsia"/>
                <w:szCs w:val="21"/>
              </w:rPr>
            </w:pPr>
            <w:r>
              <w:rPr>
                <w:rFonts w:asciiTheme="minorEastAsia" w:hAnsiTheme="minorEastAsia"/>
                <w:szCs w:val="21"/>
              </w:rPr>
              <w:br w:type="page"/>
            </w:r>
            <w:r>
              <w:rPr>
                <w:rFonts w:asciiTheme="minorEastAsia" w:hAnsiTheme="minorEastAsia"/>
                <w:spacing w:val="-2"/>
                <w:szCs w:val="21"/>
              </w:rPr>
              <w:t>雪地轮胎产品重量</w:t>
            </w:r>
          </w:p>
        </w:tc>
        <w:tc>
          <w:tcPr>
            <w:tcW w:w="980" w:type="dxa"/>
            <w:vAlign w:val="center"/>
          </w:tcPr>
          <w:p>
            <w:pPr>
              <w:jc w:val="center"/>
              <w:rPr>
                <w:rFonts w:asciiTheme="minorEastAsia" w:hAnsiTheme="minorEastAsia"/>
                <w:szCs w:val="21"/>
              </w:rPr>
            </w:pPr>
          </w:p>
        </w:tc>
        <w:tc>
          <w:tcPr>
            <w:tcW w:w="1132"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c>
          <w:tcPr>
            <w:tcW w:w="2474"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新胎外直径</w:t>
            </w:r>
          </w:p>
        </w:tc>
        <w:tc>
          <w:tcPr>
            <w:tcW w:w="1094" w:type="dxa"/>
            <w:vAlign w:val="center"/>
          </w:tcPr>
          <w:p>
            <w:pPr>
              <w:jc w:val="center"/>
              <w:rPr>
                <w:rFonts w:ascii="Times New Roman" w:hAnsi="Times New Roman" w:cs="Times New Roman"/>
                <w:szCs w:val="21"/>
              </w:rPr>
            </w:pPr>
          </w:p>
        </w:tc>
        <w:tc>
          <w:tcPr>
            <w:tcW w:w="1173" w:type="dxa"/>
            <w:vAlign w:val="center"/>
          </w:tcPr>
          <w:p>
            <w:pPr>
              <w:jc w:val="center"/>
              <w:rPr>
                <w:rFonts w:ascii="Times New Roman" w:hAnsi="Times New Roman" w:cs="Times New Roman"/>
                <w:szCs w:val="21"/>
              </w:rPr>
            </w:pPr>
            <w:r>
              <w:rPr>
                <w:rFonts w:ascii="Times New Roman" w:hAnsi="Times New Roman" w:cs="Times New Roman"/>
                <w:position w:val="-2"/>
                <w:szCs w:val="21"/>
              </w:rPr>
              <w:t>m</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723" w:type="dxa"/>
            <w:vAlign w:val="center"/>
          </w:tcPr>
          <w:p>
            <w:pPr>
              <w:pStyle w:val="28"/>
              <w:jc w:val="center"/>
              <w:rPr>
                <w:rFonts w:asciiTheme="minorEastAsia" w:hAnsiTheme="minorEastAsia" w:eastAsiaTheme="minorEastAsia"/>
                <w:lang w:eastAsia="zh-CN"/>
              </w:rPr>
            </w:pPr>
            <w:r>
              <w:rPr>
                <w:rFonts w:asciiTheme="minorEastAsia" w:hAnsiTheme="minorEastAsia" w:eastAsiaTheme="minorEastAsia"/>
                <w:spacing w:val="-1"/>
                <w:lang w:eastAsia="zh-CN"/>
              </w:rPr>
              <w:t>雪地轮胎产品预计里程</w:t>
            </w:r>
          </w:p>
        </w:tc>
        <w:tc>
          <w:tcPr>
            <w:tcW w:w="980" w:type="dxa"/>
            <w:vAlign w:val="center"/>
          </w:tcPr>
          <w:p>
            <w:pPr>
              <w:jc w:val="center"/>
              <w:rPr>
                <w:rFonts w:asciiTheme="minorEastAsia" w:hAnsiTheme="minorEastAsia"/>
                <w:szCs w:val="21"/>
              </w:rPr>
            </w:pPr>
          </w:p>
        </w:tc>
        <w:tc>
          <w:tcPr>
            <w:tcW w:w="1132" w:type="dxa"/>
            <w:vAlign w:val="center"/>
          </w:tcPr>
          <w:p>
            <w:pPr>
              <w:jc w:val="center"/>
              <w:rPr>
                <w:rFonts w:ascii="Times New Roman" w:hAnsi="Times New Roman" w:cs="Times New Roman"/>
                <w:szCs w:val="21"/>
              </w:rPr>
            </w:pPr>
            <w:r>
              <w:rPr>
                <w:rFonts w:ascii="Times New Roman" w:hAnsi="Times New Roman" w:cs="Times New Roman"/>
                <w:spacing w:val="-1"/>
                <w:szCs w:val="21"/>
              </w:rPr>
              <w:t>km</w:t>
            </w:r>
          </w:p>
        </w:tc>
        <w:tc>
          <w:tcPr>
            <w:tcW w:w="2474"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1"/>
              </w:rPr>
              <w:t>轮辋名义直径</w:t>
            </w:r>
          </w:p>
        </w:tc>
        <w:tc>
          <w:tcPr>
            <w:tcW w:w="1094" w:type="dxa"/>
            <w:vAlign w:val="center"/>
          </w:tcPr>
          <w:p>
            <w:pPr>
              <w:jc w:val="center"/>
              <w:rPr>
                <w:rFonts w:ascii="Times New Roman" w:hAnsi="Times New Roman" w:cs="Times New Roman"/>
                <w:szCs w:val="21"/>
              </w:rPr>
            </w:pPr>
          </w:p>
        </w:tc>
        <w:tc>
          <w:tcPr>
            <w:tcW w:w="1173" w:type="dxa"/>
            <w:vAlign w:val="center"/>
          </w:tcPr>
          <w:p>
            <w:pPr>
              <w:jc w:val="center"/>
              <w:rPr>
                <w:rFonts w:ascii="Times New Roman" w:hAnsi="Times New Roman" w:cs="Times New Roman"/>
                <w:szCs w:val="21"/>
              </w:rPr>
            </w:pPr>
            <w:r>
              <w:rPr>
                <w:rFonts w:ascii="Times New Roman" w:hAnsi="Times New Roman" w:cs="Times New Roman"/>
                <w:position w:val="-2"/>
                <w:szCs w:val="21"/>
              </w:rPr>
              <w:t>m</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723" w:type="dxa"/>
            <w:vAlign w:val="center"/>
          </w:tcPr>
          <w:p>
            <w:pPr>
              <w:jc w:val="center"/>
            </w:pPr>
            <w:r>
              <w:rPr>
                <w:rFonts w:hint="eastAsia" w:ascii="宋体" w:hAnsi="宋体" w:eastAsia="宋体" w:cs="宋体"/>
                <w:spacing w:val="-1"/>
                <w:szCs w:val="21"/>
              </w:rPr>
              <w:t>雪地轮胎产品磨损到胎面磨耗标志时的滚动阻力系数</w:t>
            </w:r>
          </w:p>
        </w:tc>
        <w:tc>
          <w:tcPr>
            <w:tcW w:w="980" w:type="dxa"/>
            <w:vAlign w:val="center"/>
          </w:tcPr>
          <w:p>
            <w:pPr>
              <w:jc w:val="center"/>
              <w:rPr>
                <w:rFonts w:asciiTheme="minorEastAsia" w:hAnsiTheme="minorEastAsia"/>
                <w:szCs w:val="21"/>
              </w:rPr>
            </w:pPr>
          </w:p>
        </w:tc>
        <w:tc>
          <w:tcPr>
            <w:tcW w:w="1132" w:type="dxa"/>
            <w:vAlign w:val="center"/>
          </w:tcPr>
          <w:p>
            <w:pPr>
              <w:jc w:val="center"/>
              <w:rPr>
                <w:rFonts w:ascii="Times New Roman" w:hAnsi="Times New Roman" w:cs="Times New Roman"/>
                <w:szCs w:val="21"/>
              </w:rPr>
            </w:pPr>
            <w:r>
              <w:rPr>
                <w:rFonts w:ascii="Times New Roman" w:hAnsi="Times New Roman" w:cs="Times New Roman"/>
                <w:szCs w:val="21"/>
              </w:rPr>
              <w:t>N/kN</w:t>
            </w:r>
          </w:p>
        </w:tc>
        <w:tc>
          <w:tcPr>
            <w:tcW w:w="2474"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雪地轮胎产品生命周期由</w:t>
            </w:r>
            <w:r>
              <w:rPr>
                <w:rFonts w:ascii="Times New Roman" w:hAnsi="Times New Roman" w:cs="Times New Roman" w:eastAsiaTheme="minorEastAsia"/>
                <w:spacing w:val="-2"/>
                <w:lang w:eastAsia="zh-CN"/>
              </w:rPr>
              <w:t>于和地面磨损造成的质量损失</w:t>
            </w:r>
          </w:p>
        </w:tc>
        <w:tc>
          <w:tcPr>
            <w:tcW w:w="1094" w:type="dxa"/>
            <w:vAlign w:val="center"/>
          </w:tcPr>
          <w:p>
            <w:pPr>
              <w:jc w:val="center"/>
              <w:rPr>
                <w:rFonts w:ascii="Times New Roman" w:hAnsi="Times New Roman" w:cs="Times New Roman"/>
                <w:szCs w:val="21"/>
              </w:rPr>
            </w:pPr>
          </w:p>
        </w:tc>
        <w:tc>
          <w:tcPr>
            <w:tcW w:w="1173"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723" w:type="dxa"/>
            <w:vAlign w:val="center"/>
          </w:tcPr>
          <w:p>
            <w:pPr>
              <w:pStyle w:val="28"/>
              <w:jc w:val="center"/>
              <w:rPr>
                <w:rFonts w:asciiTheme="minorEastAsia" w:hAnsiTheme="minorEastAsia" w:eastAsiaTheme="minorEastAsia"/>
                <w:lang w:eastAsia="zh-CN"/>
              </w:rPr>
            </w:pPr>
            <w:r>
              <w:rPr>
                <w:rFonts w:asciiTheme="minorEastAsia" w:hAnsiTheme="minorEastAsia" w:eastAsiaTheme="minorEastAsia"/>
                <w:spacing w:val="-1"/>
                <w:lang w:eastAsia="zh-CN"/>
              </w:rPr>
              <w:t>雪地轮胎产品负荷指数</w:t>
            </w:r>
          </w:p>
        </w:tc>
        <w:tc>
          <w:tcPr>
            <w:tcW w:w="980" w:type="dxa"/>
            <w:vAlign w:val="center"/>
          </w:tcPr>
          <w:p>
            <w:pPr>
              <w:jc w:val="center"/>
              <w:rPr>
                <w:rFonts w:asciiTheme="minorEastAsia" w:hAnsiTheme="minorEastAsia"/>
                <w:szCs w:val="21"/>
              </w:rPr>
            </w:pPr>
          </w:p>
        </w:tc>
        <w:tc>
          <w:tcPr>
            <w:tcW w:w="1132" w:type="dxa"/>
            <w:vAlign w:val="center"/>
          </w:tcPr>
          <w:p>
            <w:pPr>
              <w:jc w:val="center"/>
              <w:rPr>
                <w:rFonts w:ascii="Times New Roman" w:hAnsi="Times New Roman" w:cs="Times New Roman"/>
                <w:szCs w:val="21"/>
              </w:rPr>
            </w:pPr>
            <w:r>
              <w:rPr>
                <w:rFonts w:ascii="Times New Roman" w:hAnsi="Times New Roman" w:cs="Times New Roman"/>
                <w:szCs w:val="21"/>
              </w:rPr>
              <w:t>/</w:t>
            </w:r>
          </w:p>
        </w:tc>
        <w:tc>
          <w:tcPr>
            <w:tcW w:w="2474"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雪地轮胎产品参考负荷</w:t>
            </w:r>
          </w:p>
        </w:tc>
        <w:tc>
          <w:tcPr>
            <w:tcW w:w="1094" w:type="dxa"/>
            <w:vAlign w:val="center"/>
          </w:tcPr>
          <w:p>
            <w:pPr>
              <w:jc w:val="center"/>
              <w:rPr>
                <w:rFonts w:ascii="Times New Roman" w:hAnsi="Times New Roman" w:cs="Times New Roman"/>
                <w:szCs w:val="21"/>
              </w:rPr>
            </w:pPr>
          </w:p>
        </w:tc>
        <w:tc>
          <w:tcPr>
            <w:tcW w:w="1173" w:type="dxa"/>
            <w:vAlign w:val="center"/>
          </w:tcPr>
          <w:p>
            <w:pPr>
              <w:jc w:val="center"/>
              <w:rPr>
                <w:rFonts w:ascii="Times New Roman" w:hAnsi="Times New Roman" w:cs="Times New Roman"/>
                <w:szCs w:val="21"/>
              </w:rPr>
            </w:pPr>
            <w:r>
              <w:rPr>
                <w:rFonts w:ascii="Times New Roman" w:hAnsi="Times New Roman" w:cs="Times New Roman"/>
                <w:spacing w:val="-1"/>
                <w:szCs w:val="21"/>
              </w:rPr>
              <w:t>kg</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723" w:type="dxa"/>
            <w:vAlign w:val="center"/>
          </w:tcPr>
          <w:p>
            <w:pPr>
              <w:pStyle w:val="28"/>
              <w:jc w:val="center"/>
              <w:rPr>
                <w:rFonts w:asciiTheme="minorEastAsia" w:hAnsiTheme="minorEastAsia" w:eastAsiaTheme="minorEastAsia"/>
                <w:spacing w:val="-1"/>
                <w:lang w:eastAsia="zh-CN"/>
              </w:rPr>
            </w:pPr>
            <w:bookmarkStart w:id="85" w:name="_Toc25737"/>
            <w:bookmarkStart w:id="86" w:name="_Toc20795"/>
            <w:r>
              <w:rPr>
                <w:rFonts w:asciiTheme="minorEastAsia" w:hAnsiTheme="minorEastAsia" w:eastAsiaTheme="minorEastAsia"/>
                <w:spacing w:val="-1"/>
                <w:lang w:eastAsia="zh-CN"/>
              </w:rPr>
              <w:t>雪地轮胎产品更换作业碳足迹</w:t>
            </w:r>
          </w:p>
        </w:tc>
        <w:tc>
          <w:tcPr>
            <w:tcW w:w="6853" w:type="dxa"/>
            <w:gridSpan w:val="5"/>
            <w:vAlign w:val="center"/>
          </w:tcPr>
          <w:p>
            <w:pPr>
              <w:jc w:val="center"/>
              <w:rPr>
                <w:rFonts w:cs="Times New Roman" w:asciiTheme="minorEastAsia" w:hAnsiTheme="minorEastAsia"/>
                <w:spacing w:val="-1"/>
                <w:szCs w:val="21"/>
              </w:rPr>
            </w:pPr>
          </w:p>
        </w:tc>
      </w:tr>
    </w:tbl>
    <w:p>
      <w:pPr>
        <w:spacing w:before="207"/>
        <w:ind w:left="126"/>
        <w:outlineLvl w:val="0"/>
        <w:rPr>
          <w:rFonts w:ascii="黑体" w:hAnsi="黑体" w:eastAsia="黑体" w:cs="黑体"/>
          <w:szCs w:val="21"/>
        </w:rPr>
      </w:pPr>
      <w:bookmarkStart w:id="87" w:name="_Toc21604"/>
      <w:r>
        <w:rPr>
          <w:rFonts w:ascii="黑体" w:hAnsi="黑体" w:eastAsia="黑体" w:cs="黑体"/>
          <w:spacing w:val="-1"/>
          <w:szCs w:val="21"/>
        </w:rPr>
        <w:t>C.4.4 雪地轮胎产品运输阶段</w:t>
      </w:r>
      <w:bookmarkEnd w:id="85"/>
      <w:bookmarkEnd w:id="86"/>
      <w:bookmarkEnd w:id="87"/>
    </w:p>
    <w:p>
      <w:pPr>
        <w:spacing w:before="30"/>
        <w:jc w:val="left"/>
        <w:rPr>
          <w:rFonts w:ascii="Times New Roman" w:hAnsi="Times New Roman" w:eastAsia="宋体" w:cs="Times New Roman"/>
          <w:spacing w:val="-1"/>
          <w:szCs w:val="21"/>
        </w:rPr>
      </w:pPr>
      <w:bookmarkStart w:id="88" w:name="_Toc23499"/>
      <w:bookmarkStart w:id="89" w:name="_Toc23424"/>
      <w:bookmarkStart w:id="90" w:name="_Toc18346"/>
    </w:p>
    <w:p>
      <w:pPr>
        <w:spacing w:before="30"/>
        <w:jc w:val="left"/>
        <w:rPr>
          <w:rFonts w:ascii="Times New Roman" w:hAnsi="Times New Roman" w:eastAsia="宋体" w:cs="Times New Roman"/>
          <w:spacing w:val="-1"/>
          <w:szCs w:val="21"/>
        </w:rPr>
      </w:pPr>
      <w:r>
        <w:rPr>
          <w:rFonts w:ascii="Times New Roman" w:hAnsi="Times New Roman" w:eastAsia="宋体" w:cs="Times New Roman"/>
          <w:spacing w:val="-1"/>
          <w:szCs w:val="21"/>
        </w:rPr>
        <w:t xml:space="preserve">    </w:t>
      </w:r>
      <w:r>
        <w:rPr>
          <w:rFonts w:hint="eastAsia" w:ascii="Times New Roman" w:hAnsi="Times New Roman" w:eastAsia="宋体" w:cs="Times New Roman"/>
          <w:spacing w:val="-1"/>
          <w:szCs w:val="21"/>
        </w:rPr>
        <w:t>雪地轮胎产品运输距离，单位为km；</w:t>
      </w:r>
    </w:p>
    <w:p>
      <w:pPr>
        <w:spacing w:before="30"/>
        <w:jc w:val="left"/>
        <w:rPr>
          <w:rFonts w:ascii="Times New Roman" w:hAnsi="Times New Roman" w:eastAsia="黑体" w:cs="Times New Roman"/>
          <w:spacing w:val="-1"/>
          <w:szCs w:val="21"/>
        </w:rPr>
      </w:pPr>
      <w:r>
        <w:rPr>
          <w:rFonts w:ascii="Times New Roman" w:hAnsi="Times New Roman" w:eastAsia="宋体" w:cs="Times New Roman"/>
          <w:spacing w:val="-1"/>
          <w:szCs w:val="21"/>
        </w:rPr>
        <w:t xml:space="preserve">    </w:t>
      </w:r>
      <w:r>
        <w:rPr>
          <w:rFonts w:hint="eastAsia" w:ascii="Times New Roman" w:hAnsi="Times New Roman" w:eastAsia="宋体" w:cs="Times New Roman"/>
          <w:spacing w:val="-1"/>
          <w:szCs w:val="21"/>
        </w:rPr>
        <w:t>运输用燃料：汽油/柴油/电力。</w:t>
      </w:r>
    </w:p>
    <w:p>
      <w:pPr>
        <w:spacing w:before="217"/>
        <w:ind w:left="126"/>
        <w:outlineLvl w:val="0"/>
        <w:rPr>
          <w:rFonts w:ascii="Times New Roman" w:hAnsi="Times New Roman" w:eastAsia="黑体" w:cs="Times New Roman"/>
          <w:szCs w:val="21"/>
        </w:rPr>
      </w:pPr>
      <w:r>
        <w:rPr>
          <w:rFonts w:ascii="黑体" w:hAnsi="黑体" w:eastAsia="黑体" w:cs="黑体"/>
          <w:spacing w:val="-1"/>
          <w:szCs w:val="21"/>
        </w:rPr>
        <w:t>C.4.5</w:t>
      </w:r>
      <w:r>
        <w:rPr>
          <w:rFonts w:ascii="Times New Roman" w:hAnsi="Times New Roman" w:eastAsia="黑体" w:cs="Times New Roman"/>
          <w:spacing w:val="-1"/>
          <w:szCs w:val="21"/>
        </w:rPr>
        <w:t xml:space="preserve"> 雪地轮胎产品生命末期阶段</w:t>
      </w:r>
      <w:bookmarkEnd w:id="88"/>
      <w:bookmarkEnd w:id="89"/>
      <w:bookmarkEnd w:id="90"/>
    </w:p>
    <w:p>
      <w:pPr>
        <w:pStyle w:val="3"/>
        <w:ind w:firstLine="412"/>
        <w:rPr>
          <w:rFonts w:ascii="Times New Roman" w:hAnsi="Times New Roman" w:eastAsia="宋体" w:cs="Times New Roman"/>
          <w:spacing w:val="-1"/>
          <w:lang w:eastAsia="zh-CN"/>
        </w:rPr>
      </w:pPr>
    </w:p>
    <w:p>
      <w:pPr>
        <w:pStyle w:val="3"/>
        <w:ind w:firstLine="412"/>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 xml:space="preserve">废轮胎产品运输距离，单位为km； </w:t>
      </w:r>
    </w:p>
    <w:p>
      <w:pPr>
        <w:pStyle w:val="3"/>
        <w:ind w:firstLine="412"/>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分配系数；</w:t>
      </w:r>
    </w:p>
    <w:p>
      <w:pPr>
        <w:pStyle w:val="3"/>
        <w:ind w:firstLine="412"/>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 xml:space="preserve">运输用燃料：汽油/柴油/电力； </w:t>
      </w:r>
    </w:p>
    <w:p>
      <w:pPr>
        <w:pStyle w:val="3"/>
        <w:ind w:firstLine="412"/>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废轮胎产品重量，单位为kg；</w:t>
      </w:r>
    </w:p>
    <w:p>
      <w:pPr>
        <w:pStyle w:val="3"/>
        <w:rPr>
          <w:rFonts w:ascii="Times New Roman" w:hAnsi="Times New Roman" w:eastAsia="宋体" w:cs="Times New Roman"/>
          <w:spacing w:val="-1"/>
          <w:lang w:eastAsia="zh-CN"/>
        </w:rPr>
      </w:pPr>
      <w:r>
        <w:rPr>
          <w:rFonts w:ascii="Times New Roman" w:hAnsi="Times New Roman" w:eastAsia="宋体" w:cs="Times New Roman"/>
          <w:spacing w:val="-1"/>
          <w:lang w:eastAsia="zh-CN"/>
        </w:rPr>
        <w:t xml:space="preserve">    轮胎废弃作业排放因子</w:t>
      </w:r>
      <w:r>
        <w:rPr>
          <w:rFonts w:hint="eastAsia" w:ascii="Times New Roman" w:hAnsi="Times New Roman" w:eastAsia="宋体" w:cs="Times New Roman"/>
          <w:spacing w:val="-1"/>
          <w:lang w:eastAsia="zh-CN"/>
        </w:rPr>
        <w:t>，单位为kgCO</w:t>
      </w:r>
      <w:r>
        <w:rPr>
          <w:rFonts w:hint="eastAsia" w:ascii="Times New Roman" w:hAnsi="Times New Roman" w:eastAsia="宋体" w:cs="Times New Roman"/>
          <w:spacing w:val="-1"/>
          <w:vertAlign w:val="subscript"/>
          <w:lang w:eastAsia="zh-CN"/>
        </w:rPr>
        <w:t>2</w:t>
      </w:r>
      <w:r>
        <w:rPr>
          <w:rFonts w:hint="eastAsia" w:ascii="Times New Roman" w:hAnsi="Times New Roman" w:eastAsia="宋体" w:cs="Times New Roman"/>
          <w:spacing w:val="-1"/>
          <w:lang w:eastAsia="zh-CN"/>
        </w:rPr>
        <w:t>e/kg</w:t>
      </w:r>
      <w:r>
        <w:rPr>
          <w:rFonts w:ascii="Times New Roman" w:hAnsi="Times New Roman" w:eastAsia="宋体" w:cs="Times New Roman"/>
          <w:spacing w:val="-1"/>
          <w:lang w:eastAsia="zh-CN"/>
        </w:rPr>
        <w:t>；</w:t>
      </w:r>
    </w:p>
    <w:p>
      <w:pPr>
        <w:pStyle w:val="3"/>
        <w:ind w:firstLine="412"/>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填埋、焚烧的比例</w:t>
      </w:r>
      <w:r>
        <w:rPr>
          <w:rFonts w:ascii="Times New Roman" w:hAnsi="Times New Roman" w:eastAsia="宋体" w:cs="Times New Roman"/>
          <w:spacing w:val="-1"/>
          <w:lang w:eastAsia="zh-CN"/>
        </w:rPr>
        <w:t>（可选）</w:t>
      </w:r>
      <w:r>
        <w:rPr>
          <w:rFonts w:hint="eastAsia" w:ascii="Times New Roman" w:hAnsi="Times New Roman" w:eastAsia="宋体" w:cs="Times New Roman"/>
          <w:spacing w:val="-1"/>
          <w:lang w:eastAsia="zh-CN"/>
        </w:rPr>
        <w:t>；</w:t>
      </w:r>
    </w:p>
    <w:p>
      <w:pPr>
        <w:pStyle w:val="3"/>
        <w:ind w:firstLine="412"/>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填埋、焚烧的排放因子，单位为kgCO</w:t>
      </w:r>
      <w:r>
        <w:rPr>
          <w:rFonts w:hint="eastAsia" w:ascii="Times New Roman" w:hAnsi="Times New Roman" w:eastAsia="宋体" w:cs="Times New Roman"/>
          <w:spacing w:val="-1"/>
          <w:vertAlign w:val="subscript"/>
          <w:lang w:eastAsia="zh-CN"/>
        </w:rPr>
        <w:t>2</w:t>
      </w:r>
      <w:r>
        <w:rPr>
          <w:rFonts w:hint="eastAsia" w:ascii="Times New Roman" w:hAnsi="Times New Roman" w:eastAsia="宋体" w:cs="Times New Roman"/>
          <w:spacing w:val="-1"/>
          <w:lang w:eastAsia="zh-CN"/>
        </w:rPr>
        <w:t>e/kg。</w:t>
      </w:r>
    </w:p>
    <w:p>
      <w:pPr>
        <w:spacing w:before="223"/>
        <w:ind w:left="126"/>
        <w:outlineLvl w:val="0"/>
        <w:rPr>
          <w:rFonts w:ascii="黑体" w:hAnsi="黑体" w:eastAsia="黑体" w:cs="黑体"/>
          <w:szCs w:val="21"/>
        </w:rPr>
      </w:pPr>
      <w:bookmarkStart w:id="91" w:name="_Toc30016"/>
      <w:bookmarkStart w:id="92" w:name="_Toc24681"/>
      <w:bookmarkStart w:id="93" w:name="_Toc4192"/>
      <w:r>
        <w:rPr>
          <w:rFonts w:ascii="黑体" w:hAnsi="黑体" w:eastAsia="黑体" w:cs="黑体"/>
          <w:spacing w:val="-1"/>
          <w:szCs w:val="21"/>
        </w:rPr>
        <w:t>C.4.6</w:t>
      </w:r>
      <w:r>
        <w:rPr>
          <w:rFonts w:hint="eastAsia" w:ascii="黑体" w:hAnsi="黑体" w:eastAsia="黑体" w:cs="黑体"/>
          <w:spacing w:val="-1"/>
          <w:szCs w:val="21"/>
        </w:rPr>
        <w:t xml:space="preserve"> </w:t>
      </w:r>
      <w:r>
        <w:rPr>
          <w:rFonts w:ascii="黑体" w:hAnsi="黑体" w:eastAsia="黑体" w:cs="黑体"/>
          <w:spacing w:val="-1"/>
          <w:szCs w:val="21"/>
        </w:rPr>
        <w:t>分配原则与程序</w:t>
      </w:r>
      <w:bookmarkEnd w:id="91"/>
      <w:bookmarkEnd w:id="92"/>
      <w:bookmarkEnd w:id="93"/>
    </w:p>
    <w:p>
      <w:pPr>
        <w:pStyle w:val="3"/>
        <w:rPr>
          <w:rFonts w:ascii="宋体" w:hAnsi="宋体" w:eastAsia="宋体" w:cs="宋体"/>
          <w:spacing w:val="-4"/>
          <w:lang w:eastAsia="zh-CN"/>
        </w:rPr>
      </w:pPr>
    </w:p>
    <w:p>
      <w:pPr>
        <w:pStyle w:val="3"/>
        <w:rPr>
          <w:rFonts w:ascii="宋体" w:hAnsi="宋体" w:eastAsia="宋体" w:cs="宋体"/>
          <w:spacing w:val="-4"/>
          <w:lang w:eastAsia="zh-CN"/>
        </w:rPr>
      </w:pPr>
      <w:r>
        <w:rPr>
          <w:rFonts w:ascii="宋体" w:hAnsi="宋体" w:eastAsia="宋体" w:cs="宋体"/>
          <w:spacing w:val="-4"/>
          <w:lang w:eastAsia="zh-CN"/>
        </w:rPr>
        <w:t xml:space="preserve">    </w:t>
      </w:r>
      <w:r>
        <w:rPr>
          <w:rFonts w:hint="eastAsia" w:ascii="宋体" w:hAnsi="宋体" w:eastAsia="宋体" w:cs="宋体"/>
          <w:spacing w:val="-4"/>
          <w:lang w:eastAsia="zh-CN"/>
        </w:rPr>
        <w:t>分配依据；</w:t>
      </w:r>
    </w:p>
    <w:p>
      <w:pPr>
        <w:pStyle w:val="3"/>
        <w:rPr>
          <w:rFonts w:ascii="宋体" w:hAnsi="宋体" w:eastAsia="宋体" w:cs="宋体"/>
          <w:spacing w:val="-4"/>
          <w:lang w:eastAsia="zh-CN"/>
        </w:rPr>
      </w:pPr>
      <w:r>
        <w:rPr>
          <w:rFonts w:ascii="宋体" w:hAnsi="宋体" w:eastAsia="宋体" w:cs="宋体"/>
          <w:spacing w:val="-4"/>
          <w:lang w:eastAsia="zh-CN"/>
        </w:rPr>
        <w:t xml:space="preserve">    </w:t>
      </w:r>
      <w:r>
        <w:rPr>
          <w:rFonts w:hint="eastAsia" w:ascii="宋体" w:hAnsi="宋体" w:eastAsia="宋体" w:cs="宋体"/>
          <w:spacing w:val="-4"/>
          <w:lang w:eastAsia="zh-CN"/>
        </w:rPr>
        <w:t>分配程序；</w:t>
      </w:r>
    </w:p>
    <w:p>
      <w:pPr>
        <w:pStyle w:val="3"/>
        <w:rPr>
          <w:rFonts w:ascii="宋体" w:hAnsi="宋体" w:eastAsia="宋体" w:cs="宋体"/>
          <w:spacing w:val="-4"/>
          <w:lang w:eastAsia="zh-CN"/>
        </w:rPr>
      </w:pPr>
      <w:r>
        <w:rPr>
          <w:rFonts w:ascii="宋体" w:hAnsi="宋体" w:eastAsia="宋体" w:cs="宋体"/>
          <w:spacing w:val="-4"/>
          <w:lang w:eastAsia="zh-CN"/>
        </w:rPr>
        <w:t xml:space="preserve">    </w:t>
      </w:r>
      <w:r>
        <w:rPr>
          <w:rFonts w:hint="eastAsia" w:ascii="宋体" w:hAnsi="宋体" w:eastAsia="宋体" w:cs="宋体"/>
          <w:spacing w:val="-4"/>
          <w:lang w:eastAsia="zh-CN"/>
        </w:rPr>
        <w:t>具体分配情况。</w:t>
      </w:r>
    </w:p>
    <w:p>
      <w:pPr>
        <w:spacing w:before="27"/>
        <w:ind w:left="550"/>
        <w:rPr>
          <w:rFonts w:ascii="宋体" w:hAnsi="宋体" w:eastAsia="宋体" w:cs="宋体"/>
          <w:spacing w:val="-4"/>
          <w:szCs w:val="21"/>
        </w:rPr>
      </w:pPr>
    </w:p>
    <w:p>
      <w:pPr>
        <w:spacing w:before="68"/>
        <w:ind w:left="9"/>
        <w:outlineLvl w:val="0"/>
        <w:rPr>
          <w:rFonts w:ascii="黑体" w:hAnsi="黑体" w:eastAsia="黑体" w:cs="黑体"/>
          <w:szCs w:val="21"/>
        </w:rPr>
      </w:pPr>
      <w:bookmarkStart w:id="94" w:name="_Toc6450"/>
      <w:bookmarkStart w:id="95" w:name="_Toc12823"/>
      <w:bookmarkStart w:id="96" w:name="_Toc23335"/>
      <w:r>
        <w:rPr>
          <w:rFonts w:ascii="黑体" w:hAnsi="黑体" w:eastAsia="黑体" w:cs="黑体"/>
          <w:spacing w:val="-3"/>
          <w:szCs w:val="21"/>
        </w:rPr>
        <w:t>C.5</w:t>
      </w:r>
      <w:r>
        <w:rPr>
          <w:rFonts w:hint="eastAsia" w:ascii="黑体" w:hAnsi="黑体" w:eastAsia="黑体" w:cs="黑体"/>
          <w:spacing w:val="-3"/>
          <w:szCs w:val="21"/>
        </w:rPr>
        <w:t xml:space="preserve"> </w:t>
      </w:r>
      <w:r>
        <w:rPr>
          <w:rFonts w:ascii="黑体" w:hAnsi="黑体" w:eastAsia="黑体" w:cs="黑体"/>
          <w:spacing w:val="-40"/>
          <w:szCs w:val="21"/>
        </w:rPr>
        <w:t xml:space="preserve"> </w:t>
      </w:r>
      <w:r>
        <w:rPr>
          <w:rFonts w:ascii="黑体" w:hAnsi="黑体" w:eastAsia="黑体" w:cs="黑体"/>
          <w:spacing w:val="-1"/>
          <w:szCs w:val="21"/>
        </w:rPr>
        <w:t>结果解释</w:t>
      </w:r>
      <w:bookmarkEnd w:id="94"/>
      <w:bookmarkEnd w:id="95"/>
      <w:bookmarkEnd w:id="96"/>
    </w:p>
    <w:p>
      <w:pPr>
        <w:pStyle w:val="3"/>
        <w:rPr>
          <w:lang w:eastAsia="zh-CN"/>
        </w:rPr>
      </w:pPr>
    </w:p>
    <w:p>
      <w:pPr>
        <w:spacing w:before="69"/>
        <w:ind w:left="9"/>
        <w:outlineLvl w:val="0"/>
        <w:rPr>
          <w:rFonts w:ascii="黑体" w:hAnsi="黑体" w:eastAsia="黑体" w:cs="黑体"/>
          <w:szCs w:val="21"/>
        </w:rPr>
      </w:pPr>
      <w:bookmarkStart w:id="97" w:name="_Toc20819"/>
      <w:bookmarkStart w:id="98" w:name="_Toc22364"/>
      <w:bookmarkStart w:id="99" w:name="_Toc18808"/>
      <w:r>
        <w:rPr>
          <w:rFonts w:hint="eastAsia" w:ascii="黑体" w:hAnsi="黑体" w:eastAsia="黑体" w:cs="黑体"/>
          <w:spacing w:val="-1"/>
          <w:szCs w:val="21"/>
        </w:rPr>
        <w:t>C</w:t>
      </w:r>
      <w:r>
        <w:rPr>
          <w:rFonts w:ascii="黑体" w:hAnsi="黑体" w:eastAsia="黑体" w:cs="黑体"/>
          <w:spacing w:val="-1"/>
          <w:szCs w:val="21"/>
        </w:rPr>
        <w:t>.5.1 结果说明</w:t>
      </w:r>
      <w:bookmarkEnd w:id="97"/>
      <w:bookmarkEnd w:id="98"/>
      <w:bookmarkEnd w:id="99"/>
    </w:p>
    <w:p>
      <w:pPr>
        <w:spacing w:before="303"/>
        <w:ind w:left="7" w:firstLine="427"/>
        <w:rPr>
          <w:rFonts w:ascii="Times New Roman" w:hAnsi="Times New Roman" w:eastAsia="黑体" w:cs="Times New Roman"/>
          <w:spacing w:val="-1"/>
          <w:szCs w:val="21"/>
        </w:rPr>
      </w:pPr>
      <w:r>
        <w:rPr>
          <w:rFonts w:ascii="宋体" w:hAnsi="宋体" w:eastAsia="宋体" w:cs="宋体"/>
          <w:spacing w:val="-1"/>
          <w:szCs w:val="21"/>
        </w:rPr>
        <w:t>公司（填写雪地轮胎产品生产者的全名）生产的雪地轮胎产品（填写所评价的雪地轮胎产品名称</w:t>
      </w:r>
      <w:r>
        <w:rPr>
          <w:rFonts w:ascii="宋体" w:hAnsi="宋体" w:eastAsia="宋体" w:cs="宋体"/>
          <w:spacing w:val="11"/>
          <w:szCs w:val="21"/>
        </w:rPr>
        <w:t>），</w:t>
      </w:r>
      <w:r>
        <w:rPr>
          <w:rFonts w:ascii="宋体" w:hAnsi="宋体" w:eastAsia="宋体" w:cs="宋体"/>
          <w:spacing w:val="-1"/>
          <w:szCs w:val="21"/>
        </w:rPr>
        <w:t>生命周期碳足</w:t>
      </w:r>
      <w:r>
        <w:rPr>
          <w:rFonts w:ascii="宋体" w:hAnsi="宋体" w:eastAsia="宋体" w:cs="宋体"/>
          <w:szCs w:val="21"/>
        </w:rPr>
        <w:t>迹总量为（）</w:t>
      </w:r>
      <w:r>
        <w:rPr>
          <w:rFonts w:ascii="宋体" w:hAnsi="宋体" w:eastAsia="宋体" w:cs="宋体"/>
          <w:spacing w:val="-50"/>
          <w:szCs w:val="21"/>
        </w:rPr>
        <w:t xml:space="preserve">      </w:t>
      </w:r>
      <w:r>
        <w:rPr>
          <w:rFonts w:ascii="Times New Roman" w:hAnsi="Times New Roman" w:eastAsia="Times New Roman" w:cs="Times New Roman"/>
          <w:szCs w:val="21"/>
        </w:rPr>
        <w:t>kgCO</w:t>
      </w:r>
      <w:r>
        <w:rPr>
          <w:rFonts w:ascii="Times New Roman" w:hAnsi="Times New Roman" w:eastAsia="Times New Roman" w:cs="Times New Roman"/>
          <w:sz w:val="12"/>
          <w:szCs w:val="12"/>
        </w:rPr>
        <w:t>2</w:t>
      </w:r>
      <w:r>
        <w:rPr>
          <w:rFonts w:ascii="Times New Roman" w:hAnsi="Times New Roman" w:eastAsia="Times New Roman" w:cs="Times New Roman"/>
          <w:szCs w:val="21"/>
        </w:rPr>
        <w:t>e</w:t>
      </w:r>
      <w:r>
        <w:rPr>
          <w:rFonts w:ascii="Times New Roman" w:hAnsi="Times New Roman" w:eastAsia="Times New Roman" w:cs="Times New Roman"/>
          <w:spacing w:val="-30"/>
          <w:szCs w:val="21"/>
        </w:rPr>
        <w:t xml:space="preserve"> </w:t>
      </w:r>
      <w:r>
        <w:rPr>
          <w:rFonts w:ascii="宋体" w:hAnsi="宋体" w:eastAsia="宋体" w:cs="宋体"/>
          <w:szCs w:val="21"/>
        </w:rPr>
        <w:t>，生命周期碳足迹强度为（）</w:t>
      </w:r>
      <w:r>
        <w:rPr>
          <w:rFonts w:ascii="Times New Roman" w:hAnsi="Times New Roman" w:eastAsia="Times New Roman" w:cs="Times New Roman"/>
          <w:szCs w:val="21"/>
        </w:rPr>
        <w:t>kgCO</w:t>
      </w:r>
      <w:r>
        <w:rPr>
          <w:rFonts w:ascii="Times New Roman" w:hAnsi="Times New Roman" w:eastAsia="Times New Roman" w:cs="Times New Roman"/>
          <w:sz w:val="12"/>
          <w:szCs w:val="12"/>
        </w:rPr>
        <w:t>2</w:t>
      </w:r>
      <w:r>
        <w:rPr>
          <w:rFonts w:ascii="Times New Roman" w:hAnsi="Times New Roman" w:eastAsia="Times New Roman" w:cs="Times New Roman"/>
          <w:szCs w:val="21"/>
        </w:rPr>
        <w:t>e</w:t>
      </w:r>
      <w:r>
        <w:rPr>
          <w:rFonts w:ascii="Times New Roman" w:hAnsi="Times New Roman" w:cs="Times New Roman"/>
          <w:spacing w:val="-1"/>
        </w:rPr>
        <w:t>/km</w:t>
      </w:r>
      <w:r>
        <w:rPr>
          <w:rFonts w:ascii="宋体" w:hAnsi="宋体" w:eastAsia="宋体" w:cs="宋体"/>
          <w:spacing w:val="-1"/>
          <w:szCs w:val="21"/>
        </w:rPr>
        <w:t>。各生命周期阶段的温室气体排放情况</w:t>
      </w:r>
      <w:r>
        <w:rPr>
          <w:rFonts w:ascii="Times New Roman" w:hAnsi="Times New Roman" w:eastAsia="宋体" w:cs="Times New Roman"/>
          <w:spacing w:val="-1"/>
          <w:szCs w:val="21"/>
        </w:rPr>
        <w:t>如表C.4</w:t>
      </w:r>
      <w:r>
        <w:rPr>
          <w:rFonts w:ascii="Times New Roman" w:hAnsi="Times New Roman" w:eastAsia="宋体" w:cs="Times New Roman"/>
          <w:szCs w:val="21"/>
        </w:rPr>
        <w:t>所示</w:t>
      </w:r>
      <w:r>
        <w:rPr>
          <w:rFonts w:ascii="Times New Roman" w:hAnsi="Times New Roman" w:eastAsia="宋体" w:cs="Times New Roman"/>
          <w:spacing w:val="-10"/>
          <w:szCs w:val="21"/>
        </w:rPr>
        <w:t>。</w:t>
      </w:r>
    </w:p>
    <w:p>
      <w:pPr>
        <w:spacing w:before="89" w:line="222" w:lineRule="auto"/>
        <w:ind w:left="2877"/>
        <w:rPr>
          <w:rFonts w:ascii="黑体" w:hAnsi="黑体" w:eastAsia="黑体" w:cs="黑体"/>
          <w:spacing w:val="-1"/>
          <w:szCs w:val="21"/>
        </w:rPr>
      </w:pPr>
    </w:p>
    <w:p>
      <w:pPr>
        <w:spacing w:before="89" w:line="222" w:lineRule="auto"/>
        <w:ind w:left="2877"/>
        <w:rPr>
          <w:rFonts w:ascii="黑体" w:hAnsi="黑体" w:eastAsia="黑体" w:cs="黑体"/>
          <w:spacing w:val="-1"/>
          <w:szCs w:val="21"/>
        </w:rPr>
      </w:pPr>
    </w:p>
    <w:p>
      <w:pPr>
        <w:spacing w:before="89" w:line="222" w:lineRule="auto"/>
        <w:ind w:left="2877"/>
        <w:rPr>
          <w:rFonts w:ascii="黑体" w:hAnsi="黑体" w:eastAsia="黑体" w:cs="黑体"/>
          <w:spacing w:val="-1"/>
          <w:szCs w:val="21"/>
        </w:rPr>
      </w:pPr>
    </w:p>
    <w:p>
      <w:pPr>
        <w:spacing w:before="89" w:line="222" w:lineRule="auto"/>
        <w:ind w:left="2877"/>
        <w:rPr>
          <w:rFonts w:ascii="黑体" w:hAnsi="黑体" w:eastAsia="黑体" w:cs="黑体"/>
          <w:spacing w:val="-1"/>
          <w:szCs w:val="21"/>
        </w:rPr>
      </w:pPr>
    </w:p>
    <w:p>
      <w:pPr>
        <w:spacing w:before="89" w:line="222" w:lineRule="auto"/>
        <w:ind w:left="2877"/>
        <w:rPr>
          <w:rFonts w:ascii="黑体" w:hAnsi="黑体" w:eastAsia="黑体" w:cs="黑体"/>
          <w:spacing w:val="-1"/>
          <w:szCs w:val="21"/>
        </w:rPr>
      </w:pPr>
      <w:r>
        <w:rPr>
          <w:sz w:val="39"/>
        </w:rPr>
        <mc:AlternateContent>
          <mc:Choice Requires="wps">
            <w:drawing>
              <wp:anchor distT="0" distB="0" distL="114300" distR="114300" simplePos="0" relativeHeight="251685888" behindDoc="0" locked="0" layoutInCell="1" allowOverlap="1">
                <wp:simplePos x="0" y="0"/>
                <wp:positionH relativeFrom="column">
                  <wp:posOffset>-92710</wp:posOffset>
                </wp:positionH>
                <wp:positionV relativeFrom="paragraph">
                  <wp:posOffset>115570</wp:posOffset>
                </wp:positionV>
                <wp:extent cx="6238240" cy="8705850"/>
                <wp:effectExtent l="0" t="0" r="10160" b="19050"/>
                <wp:wrapNone/>
                <wp:docPr id="17" name="矩形 17"/>
                <wp:cNvGraphicFramePr/>
                <a:graphic xmlns:a="http://schemas.openxmlformats.org/drawingml/2006/main">
                  <a:graphicData uri="http://schemas.microsoft.com/office/word/2010/wordprocessingShape">
                    <wps:wsp>
                      <wps:cNvSpPr/>
                      <wps:spPr>
                        <a:xfrm>
                          <a:off x="0" y="0"/>
                          <a:ext cx="6238240" cy="870585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7.3pt;margin-top:9.1pt;height:685.5pt;width:491.2pt;z-index:251685888;v-text-anchor:middle;mso-width-relative:page;mso-height-relative:page;" filled="f" stroked="t" coordsize="21600,21600" o:gfxdata="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FDq8AHaAAAACwEAAA8AAAAAAAAAAQAgAAAAOAAAAGRycy9kb3ducmV2Lnht&#10;bFBLAQIUABQAAAAIAIdO4kDZx+NXUwIAAI8EAAAOAAAAAAAAAAEAIAAAAD8BAABkcnMvZTJvRG9j&#10;LnhtbFBLBQYAAAAABgAGAFkBAAAEBgAAAAA=&#10;">
                <v:fill on="f" focussize="0,0"/>
                <v:stroke weight="1pt" color="#000000 [3213]" miterlimit="8" joinstyle="miter"/>
                <v:imagedata o:title=""/>
                <o:lock v:ext="edit" aspectratio="f"/>
              </v:rect>
            </w:pict>
          </mc:Fallback>
        </mc:AlternateContent>
      </w:r>
    </w:p>
    <w:p>
      <w:pPr>
        <w:spacing w:before="89" w:line="222" w:lineRule="auto"/>
        <w:ind w:left="2877"/>
        <w:rPr>
          <w:rFonts w:ascii="黑体" w:hAnsi="黑体" w:eastAsia="黑体" w:cs="黑体"/>
          <w:spacing w:val="-1"/>
          <w:szCs w:val="21"/>
        </w:rPr>
      </w:pPr>
    </w:p>
    <w:p>
      <w:pPr>
        <w:spacing w:before="89" w:line="222" w:lineRule="auto"/>
        <w:ind w:left="2877"/>
        <w:rPr>
          <w:rFonts w:ascii="黑体" w:hAnsi="黑体" w:eastAsia="黑体" w:cs="黑体"/>
          <w:szCs w:val="21"/>
        </w:rPr>
      </w:pPr>
      <w:r>
        <w:rPr>
          <w:rFonts w:ascii="黑体" w:hAnsi="黑体" w:eastAsia="黑体" w:cs="黑体"/>
          <w:spacing w:val="-1"/>
          <w:szCs w:val="21"/>
        </w:rPr>
        <w:t>表</w:t>
      </w:r>
      <w:r>
        <w:rPr>
          <w:rFonts w:hint="eastAsia" w:ascii="黑体" w:hAnsi="黑体" w:eastAsia="黑体" w:cs="宋体"/>
          <w:spacing w:val="-1"/>
          <w:szCs w:val="21"/>
        </w:rPr>
        <w:t xml:space="preserve">C.4 </w:t>
      </w:r>
      <w:r>
        <w:rPr>
          <w:rFonts w:ascii="黑体" w:hAnsi="黑体" w:eastAsia="黑体" w:cs="黑体"/>
          <w:spacing w:val="-1"/>
          <w:szCs w:val="21"/>
        </w:rPr>
        <w:t>雪地轮胎产品生命周期各阶段碳排放情况</w:t>
      </w:r>
    </w:p>
    <w:p>
      <w:pPr>
        <w:spacing w:line="147" w:lineRule="exact"/>
      </w:pPr>
    </w:p>
    <w:tbl>
      <w:tblPr>
        <w:tblStyle w:val="29"/>
        <w:tblW w:w="9558" w:type="dxa"/>
        <w:jc w:val="center"/>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3119"/>
        <w:gridCol w:w="3312"/>
        <w:gridCol w:w="3127"/>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tcBorders>
              <w:bottom w:val="single" w:color="000000" w:sz="6"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b/>
                <w:bCs/>
                <w:spacing w:val="-3"/>
              </w:rPr>
              <w:t>生命周期阶段</w:t>
            </w:r>
          </w:p>
        </w:tc>
        <w:tc>
          <w:tcPr>
            <w:tcW w:w="3312" w:type="dxa"/>
            <w:tcBorders>
              <w:bottom w:val="single" w:color="000000" w:sz="6"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b/>
                <w:bCs/>
                <w:spacing w:val="-1"/>
              </w:rPr>
              <w:t>碳排放（</w:t>
            </w:r>
            <w:r>
              <w:rPr>
                <w:rFonts w:ascii="Times New Roman" w:hAnsi="Times New Roman" w:cs="Times New Roman" w:eastAsiaTheme="minorEastAsia"/>
                <w:spacing w:val="-1"/>
              </w:rPr>
              <w:t>kgCO</w:t>
            </w:r>
            <w:r>
              <w:rPr>
                <w:rFonts w:ascii="Times New Roman" w:hAnsi="Times New Roman" w:cs="Times New Roman" w:eastAsiaTheme="minorEastAsia"/>
                <w:spacing w:val="-1"/>
                <w:vertAlign w:val="subscript"/>
              </w:rPr>
              <w:t>2</w:t>
            </w:r>
            <w:r>
              <w:rPr>
                <w:rFonts w:ascii="Times New Roman" w:hAnsi="Times New Roman" w:cs="Times New Roman" w:eastAsiaTheme="minorEastAsia"/>
                <w:spacing w:val="-1"/>
              </w:rPr>
              <w:t>e</w:t>
            </w:r>
            <w:r>
              <w:rPr>
                <w:rFonts w:ascii="Times New Roman" w:hAnsi="Times New Roman" w:cs="Times New Roman" w:eastAsiaTheme="minorEastAsia"/>
                <w:b/>
                <w:bCs/>
                <w:spacing w:val="-1"/>
              </w:rPr>
              <w:t>）</w:t>
            </w:r>
          </w:p>
        </w:tc>
        <w:tc>
          <w:tcPr>
            <w:tcW w:w="3127" w:type="dxa"/>
            <w:tcBorders>
              <w:bottom w:val="single" w:color="000000" w:sz="6"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b/>
                <w:bCs/>
                <w:spacing w:val="-3"/>
              </w:rPr>
              <w:t>百分比（%）</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tcBorders>
              <w:top w:val="single" w:color="000000" w:sz="6"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原材料获取阶段</w:t>
            </w:r>
          </w:p>
        </w:tc>
        <w:tc>
          <w:tcPr>
            <w:tcW w:w="3312" w:type="dxa"/>
            <w:tcBorders>
              <w:top w:val="single" w:color="000000" w:sz="6" w:space="0"/>
            </w:tcBorders>
            <w:vAlign w:val="center"/>
          </w:tcPr>
          <w:p>
            <w:pPr>
              <w:jc w:val="center"/>
              <w:rPr>
                <w:rFonts w:ascii="Times New Roman" w:hAnsi="Times New Roman" w:cs="Times New Roman"/>
                <w:szCs w:val="21"/>
              </w:rPr>
            </w:pPr>
          </w:p>
        </w:tc>
        <w:tc>
          <w:tcPr>
            <w:tcW w:w="3127" w:type="dxa"/>
            <w:tcBorders>
              <w:top w:val="single" w:color="000000" w:sz="6" w:space="0"/>
            </w:tcBorders>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雪地轮胎产品生产阶段</w:t>
            </w:r>
          </w:p>
        </w:tc>
        <w:tc>
          <w:tcPr>
            <w:tcW w:w="3312" w:type="dxa"/>
            <w:vAlign w:val="center"/>
          </w:tcPr>
          <w:p>
            <w:pPr>
              <w:jc w:val="center"/>
              <w:rPr>
                <w:rFonts w:ascii="Times New Roman" w:hAnsi="Times New Roman" w:cs="Times New Roman"/>
                <w:szCs w:val="21"/>
              </w:rPr>
            </w:pPr>
          </w:p>
        </w:tc>
        <w:tc>
          <w:tcPr>
            <w:tcW w:w="3127"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雪地轮胎产品使用阶段</w:t>
            </w:r>
          </w:p>
        </w:tc>
        <w:tc>
          <w:tcPr>
            <w:tcW w:w="3312" w:type="dxa"/>
            <w:vAlign w:val="center"/>
          </w:tcPr>
          <w:p>
            <w:pPr>
              <w:jc w:val="center"/>
              <w:rPr>
                <w:rFonts w:ascii="Times New Roman" w:hAnsi="Times New Roman" w:cs="Times New Roman"/>
                <w:szCs w:val="21"/>
              </w:rPr>
            </w:pPr>
          </w:p>
        </w:tc>
        <w:tc>
          <w:tcPr>
            <w:tcW w:w="3127"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雪地轮胎产品分销阶段</w:t>
            </w:r>
          </w:p>
        </w:tc>
        <w:tc>
          <w:tcPr>
            <w:tcW w:w="3312" w:type="dxa"/>
            <w:vAlign w:val="center"/>
          </w:tcPr>
          <w:p>
            <w:pPr>
              <w:jc w:val="center"/>
              <w:rPr>
                <w:rFonts w:ascii="Times New Roman" w:hAnsi="Times New Roman" w:cs="Times New Roman"/>
                <w:szCs w:val="21"/>
              </w:rPr>
            </w:pPr>
          </w:p>
        </w:tc>
        <w:tc>
          <w:tcPr>
            <w:tcW w:w="3127"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雪地轮胎产品废</w:t>
            </w:r>
            <w:r>
              <w:rPr>
                <w:rFonts w:hint="eastAsia" w:ascii="Times New Roman" w:hAnsi="Times New Roman" w:cs="Times New Roman" w:eastAsiaTheme="minorEastAsia"/>
                <w:spacing w:val="-1"/>
                <w:lang w:eastAsia="zh-CN"/>
              </w:rPr>
              <w:t>弃</w:t>
            </w:r>
            <w:r>
              <w:rPr>
                <w:rFonts w:ascii="Times New Roman" w:hAnsi="Times New Roman" w:cs="Times New Roman" w:eastAsiaTheme="minorEastAsia"/>
                <w:spacing w:val="-1"/>
                <w:lang w:eastAsia="zh-CN"/>
              </w:rPr>
              <w:t>处理阶段</w:t>
            </w:r>
          </w:p>
        </w:tc>
        <w:tc>
          <w:tcPr>
            <w:tcW w:w="3312" w:type="dxa"/>
            <w:vAlign w:val="center"/>
          </w:tcPr>
          <w:p>
            <w:pPr>
              <w:jc w:val="center"/>
              <w:rPr>
                <w:rFonts w:ascii="Times New Roman" w:hAnsi="Times New Roman" w:cs="Times New Roman"/>
                <w:szCs w:val="21"/>
              </w:rPr>
            </w:pPr>
          </w:p>
        </w:tc>
        <w:tc>
          <w:tcPr>
            <w:tcW w:w="3127" w:type="dxa"/>
            <w:vAlign w:val="center"/>
          </w:tcPr>
          <w:p>
            <w:pPr>
              <w:jc w:val="center"/>
              <w:rPr>
                <w:rFonts w:ascii="Times New Roman" w:hAnsi="Times New Roman" w:cs="Times New Roman"/>
                <w:szCs w:val="21"/>
              </w:rPr>
            </w:pP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碳足迹总量</w:t>
            </w:r>
          </w:p>
        </w:tc>
        <w:tc>
          <w:tcPr>
            <w:tcW w:w="3312" w:type="dxa"/>
            <w:vAlign w:val="center"/>
          </w:tcPr>
          <w:p>
            <w:pPr>
              <w:jc w:val="center"/>
              <w:rPr>
                <w:rFonts w:ascii="Times New Roman" w:hAnsi="Times New Roman" w:cs="Times New Roman"/>
                <w:szCs w:val="21"/>
              </w:rPr>
            </w:pPr>
          </w:p>
        </w:tc>
        <w:tc>
          <w:tcPr>
            <w:tcW w:w="3127" w:type="dxa"/>
            <w:vAlign w:val="center"/>
          </w:tcPr>
          <w:p>
            <w:pPr>
              <w:jc w:val="center"/>
              <w:rPr>
                <w:rFonts w:ascii="Times New Roman" w:hAnsi="Times New Roman" w:cs="Times New Roman"/>
                <w:szCs w:val="21"/>
              </w:rPr>
            </w:pPr>
            <w:r>
              <w:rPr>
                <w:rFonts w:ascii="Times New Roman" w:hAnsi="Times New Roman" w:cs="Times New Roman"/>
                <w:spacing w:val="-5"/>
                <w:szCs w:val="21"/>
              </w:rPr>
              <w:t>100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3119" w:type="dxa"/>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1"/>
              </w:rPr>
              <w:t>碳足迹强度</w:t>
            </w:r>
          </w:p>
        </w:tc>
        <w:tc>
          <w:tcPr>
            <w:tcW w:w="6439" w:type="dxa"/>
            <w:gridSpan w:val="2"/>
            <w:vAlign w:val="center"/>
          </w:tcPr>
          <w:p>
            <w:pPr>
              <w:jc w:val="right"/>
              <w:rPr>
                <w:rFonts w:ascii="Times New Roman" w:hAnsi="Times New Roman" w:cs="Times New Roman"/>
                <w:szCs w:val="21"/>
              </w:rPr>
            </w:pPr>
            <w:r>
              <w:rPr>
                <w:rFonts w:ascii="Times New Roman" w:hAnsi="Times New Roman" w:cs="Times New Roman"/>
                <w:spacing w:val="-1"/>
              </w:rPr>
              <w:t>kgCO</w:t>
            </w:r>
            <w:r>
              <w:rPr>
                <w:rFonts w:ascii="Times New Roman" w:hAnsi="Times New Roman" w:cs="Times New Roman"/>
                <w:spacing w:val="-1"/>
                <w:vertAlign w:val="subscript"/>
              </w:rPr>
              <w:t>2</w:t>
            </w:r>
            <w:r>
              <w:rPr>
                <w:rFonts w:ascii="Times New Roman" w:hAnsi="Times New Roman" w:cs="Times New Roman"/>
                <w:spacing w:val="-1"/>
              </w:rPr>
              <w:t>e/km</w:t>
            </w:r>
          </w:p>
        </w:tc>
      </w:tr>
    </w:tbl>
    <w:p>
      <w:pPr>
        <w:pStyle w:val="3"/>
        <w:spacing w:line="282" w:lineRule="auto"/>
      </w:pPr>
    </w:p>
    <w:p>
      <w:pPr>
        <w:spacing w:before="68"/>
        <w:ind w:left="9"/>
        <w:outlineLvl w:val="0"/>
        <w:rPr>
          <w:rFonts w:ascii="黑体" w:hAnsi="黑体" w:eastAsia="黑体" w:cs="黑体"/>
          <w:szCs w:val="21"/>
        </w:rPr>
      </w:pPr>
      <w:bookmarkStart w:id="100" w:name="_Toc29497"/>
      <w:bookmarkStart w:id="101" w:name="_Toc11741"/>
      <w:bookmarkStart w:id="102" w:name="_Toc15797"/>
      <w:r>
        <w:rPr>
          <w:rFonts w:ascii="黑体" w:hAnsi="黑体" w:eastAsia="黑体" w:cs="黑体"/>
          <w:spacing w:val="-2"/>
          <w:szCs w:val="21"/>
        </w:rPr>
        <w:t>C.5.2 假设和局限性说明（可选项）</w:t>
      </w:r>
      <w:bookmarkEnd w:id="100"/>
      <w:bookmarkEnd w:id="101"/>
      <w:bookmarkEnd w:id="102"/>
    </w:p>
    <w:p>
      <w:pPr>
        <w:spacing w:before="302"/>
        <w:ind w:left="433"/>
        <w:rPr>
          <w:rFonts w:ascii="宋体" w:hAnsi="宋体" w:eastAsia="宋体" w:cs="宋体"/>
          <w:spacing w:val="-1"/>
          <w:szCs w:val="21"/>
        </w:rPr>
      </w:pPr>
      <w:r>
        <w:rPr>
          <w:rFonts w:ascii="宋体" w:hAnsi="宋体" w:eastAsia="宋体" w:cs="宋体"/>
          <w:szCs w:val="21"/>
        </w:rPr>
        <w:t>结合量化情况，对范围、数据选择、情景设定等相关的假</w:t>
      </w:r>
      <w:r>
        <w:rPr>
          <w:rFonts w:ascii="宋体" w:hAnsi="宋体" w:eastAsia="宋体" w:cs="宋体"/>
          <w:spacing w:val="-1"/>
          <w:szCs w:val="21"/>
        </w:rPr>
        <w:t>设和局限性进行说明。</w:t>
      </w:r>
    </w:p>
    <w:p>
      <w:pPr>
        <w:spacing w:before="68"/>
        <w:ind w:left="9"/>
        <w:outlineLvl w:val="0"/>
        <w:rPr>
          <w:rFonts w:hint="eastAsia" w:ascii="黑体" w:hAnsi="黑体" w:eastAsia="黑体" w:cs="黑体"/>
          <w:spacing w:val="-2"/>
          <w:szCs w:val="21"/>
        </w:rPr>
      </w:pPr>
      <w:r>
        <w:rPr>
          <w:rFonts w:ascii="黑体" w:hAnsi="黑体" w:eastAsia="黑体" w:cs="黑体"/>
          <w:spacing w:val="-2"/>
          <w:szCs w:val="21"/>
        </w:rPr>
        <w:t>C.5.3 数据质量（可选项）</w:t>
      </w:r>
    </w:p>
    <w:p>
      <w:pPr>
        <w:spacing w:before="68"/>
        <w:ind w:left="9"/>
        <w:outlineLvl w:val="0"/>
        <w:rPr>
          <w:rFonts w:ascii="黑体" w:hAnsi="黑体" w:eastAsia="黑体" w:cs="黑体"/>
          <w:spacing w:val="-2"/>
          <w:szCs w:val="21"/>
        </w:rPr>
      </w:pPr>
    </w:p>
    <w:p>
      <w:pPr>
        <w:spacing w:before="68"/>
        <w:ind w:left="9"/>
        <w:outlineLvl w:val="0"/>
        <w:rPr>
          <w:rFonts w:ascii="黑体" w:hAnsi="黑体" w:eastAsia="黑体" w:cs="黑体"/>
          <w:spacing w:val="-2"/>
          <w:szCs w:val="21"/>
        </w:rPr>
      </w:pPr>
      <w:r>
        <w:rPr>
          <w:rFonts w:ascii="黑体" w:hAnsi="黑体" w:eastAsia="黑体" w:cs="黑体"/>
          <w:spacing w:val="-2"/>
          <w:szCs w:val="21"/>
        </w:rPr>
        <w:t>C.5.4数据不确定度（可选项）</w:t>
      </w:r>
    </w:p>
    <w:p>
      <w:pPr>
        <w:spacing w:before="302"/>
        <w:rPr>
          <w:rFonts w:ascii="黑体" w:hAnsi="黑体" w:eastAsia="黑体" w:cs="Times New Roman"/>
          <w:bCs/>
          <w:kern w:val="44"/>
          <w:sz w:val="28"/>
          <w:szCs w:val="28"/>
        </w:rPr>
      </w:pPr>
      <w:r>
        <w:br w:type="page"/>
      </w:r>
    </w:p>
    <w:p>
      <w:pPr>
        <w:widowControl/>
        <w:jc w:val="left"/>
        <w:rPr>
          <w:rFonts w:ascii="宋体" w:hAnsi="宋体" w:eastAsia="宋体" w:cs="宋体"/>
          <w:spacing w:val="-4"/>
          <w:sz w:val="24"/>
          <w:szCs w:val="24"/>
        </w:rPr>
      </w:pPr>
      <w:r>
        <w:rPr>
          <w:rFonts w:hint="eastAsia" w:ascii="黑体" w:hAnsi="黑体" w:eastAsia="黑体" w:cs="Times New Roman"/>
          <w:bCs/>
          <w:kern w:val="44"/>
          <w:sz w:val="28"/>
          <w:szCs w:val="28"/>
        </w:rPr>
        <w:t>附录D</w:t>
      </w:r>
    </w:p>
    <w:p>
      <w:pPr>
        <w:pStyle w:val="3"/>
        <w:spacing w:line="221" w:lineRule="auto"/>
        <w:jc w:val="center"/>
        <w:outlineLvl w:val="0"/>
        <w:rPr>
          <w:rFonts w:ascii="黑体" w:hAnsi="黑体" w:eastAsia="黑体" w:cs="黑体"/>
          <w:bCs/>
          <w:spacing w:val="-1"/>
          <w:sz w:val="28"/>
          <w:szCs w:val="28"/>
          <w:lang w:eastAsia="zh-CN"/>
        </w:rPr>
      </w:pPr>
      <w:bookmarkStart w:id="103" w:name="_Toc2650"/>
      <w:r>
        <w:rPr>
          <w:rFonts w:hint="eastAsia" w:ascii="黑体" w:hAnsi="黑体" w:eastAsia="黑体" w:cs="黑体"/>
          <w:bCs/>
          <w:spacing w:val="-1"/>
          <w:sz w:val="28"/>
          <w:szCs w:val="28"/>
          <w:lang w:eastAsia="zh-CN"/>
        </w:rPr>
        <w:t>附录 D</w:t>
      </w:r>
      <w:bookmarkEnd w:id="103"/>
    </w:p>
    <w:p>
      <w:pPr>
        <w:pStyle w:val="3"/>
        <w:spacing w:line="221" w:lineRule="auto"/>
        <w:jc w:val="center"/>
        <w:outlineLvl w:val="0"/>
        <w:rPr>
          <w:rFonts w:ascii="黑体" w:hAnsi="黑体" w:eastAsia="黑体" w:cs="黑体"/>
          <w:bCs/>
          <w:spacing w:val="-1"/>
          <w:sz w:val="28"/>
          <w:szCs w:val="28"/>
          <w:lang w:eastAsia="zh-CN"/>
        </w:rPr>
      </w:pPr>
      <w:bookmarkStart w:id="104" w:name="_Toc31763"/>
      <w:r>
        <w:rPr>
          <w:rFonts w:hint="eastAsia" w:ascii="黑体" w:hAnsi="黑体" w:eastAsia="黑体" w:cs="黑体"/>
          <w:bCs/>
          <w:spacing w:val="-1"/>
          <w:sz w:val="28"/>
          <w:szCs w:val="28"/>
          <w:lang w:val="zh-CN" w:eastAsia="zh-CN"/>
        </w:rPr>
        <w:t>（</w:t>
      </w:r>
      <w:r>
        <w:rPr>
          <w:rFonts w:hint="eastAsia" w:ascii="黑体" w:hAnsi="黑体" w:eastAsia="黑体" w:cs="黑体"/>
          <w:bCs/>
          <w:spacing w:val="-1"/>
          <w:sz w:val="28"/>
          <w:szCs w:val="28"/>
          <w:lang w:eastAsia="zh-CN"/>
        </w:rPr>
        <w:t>资料性</w:t>
      </w:r>
      <w:bookmarkEnd w:id="104"/>
      <w:r>
        <w:rPr>
          <w:rFonts w:hint="eastAsia" w:ascii="黑体" w:hAnsi="黑体" w:eastAsia="黑体" w:cs="黑体"/>
          <w:bCs/>
          <w:spacing w:val="-1"/>
          <w:sz w:val="28"/>
          <w:szCs w:val="28"/>
          <w:lang w:val="zh-CN" w:eastAsia="zh-CN"/>
        </w:rPr>
        <w:t>）</w:t>
      </w:r>
    </w:p>
    <w:p>
      <w:pPr>
        <w:pStyle w:val="3"/>
        <w:spacing w:line="221" w:lineRule="auto"/>
        <w:jc w:val="center"/>
        <w:outlineLvl w:val="0"/>
        <w:rPr>
          <w:rFonts w:ascii="黑体" w:hAnsi="黑体" w:eastAsia="黑体" w:cs="黑体"/>
          <w:bCs/>
          <w:spacing w:val="-1"/>
          <w:sz w:val="28"/>
          <w:szCs w:val="28"/>
          <w:lang w:eastAsia="zh-CN"/>
        </w:rPr>
      </w:pPr>
      <w:bookmarkStart w:id="105" w:name="bookmark16"/>
      <w:bookmarkEnd w:id="105"/>
      <w:bookmarkStart w:id="106" w:name="_Toc23497"/>
      <w:r>
        <w:rPr>
          <w:rFonts w:hint="eastAsia" w:ascii="黑体" w:hAnsi="黑体" w:eastAsia="黑体" w:cs="黑体"/>
          <w:bCs/>
          <w:spacing w:val="-1"/>
          <w:sz w:val="28"/>
          <w:szCs w:val="28"/>
          <w:lang w:eastAsia="zh-CN"/>
        </w:rPr>
        <w:t>全球增温潜势值</w:t>
      </w:r>
      <w:bookmarkEnd w:id="106"/>
    </w:p>
    <w:p>
      <w:pPr>
        <w:spacing w:line="268" w:lineRule="auto"/>
        <w:rPr>
          <w:rFonts w:ascii="Arial"/>
        </w:rPr>
      </w:pPr>
    </w:p>
    <w:p>
      <w:pPr>
        <w:spacing w:before="65" w:line="228" w:lineRule="auto"/>
        <w:ind w:left="304"/>
        <w:rPr>
          <w:rFonts w:ascii="Times New Roman" w:hAnsi="Times New Roman" w:cs="Times New Roman"/>
          <w:sz w:val="24"/>
          <w:szCs w:val="24"/>
        </w:rPr>
      </w:pPr>
      <w:r>
        <w:rPr>
          <w:rFonts w:cs="宋体" w:asciiTheme="minorEastAsia" w:hAnsiTheme="minorEastAsia"/>
          <w:spacing w:val="9"/>
          <w:sz w:val="24"/>
          <w:szCs w:val="24"/>
        </w:rPr>
        <w:t>计算用于</w:t>
      </w:r>
      <w:r>
        <w:rPr>
          <w:rFonts w:ascii="Times New Roman" w:hAnsi="Times New Roman" w:cs="Times New Roman"/>
          <w:spacing w:val="9"/>
          <w:sz w:val="24"/>
          <w:szCs w:val="24"/>
        </w:rPr>
        <w:t>GHG</w:t>
      </w:r>
      <w:r>
        <w:rPr>
          <w:rFonts w:cs="宋体" w:asciiTheme="minorEastAsia" w:hAnsiTheme="minorEastAsia"/>
          <w:spacing w:val="9"/>
          <w:sz w:val="24"/>
          <w:szCs w:val="24"/>
        </w:rPr>
        <w:t>全球增温潜势值时，应按照</w:t>
      </w:r>
      <w:r>
        <w:rPr>
          <w:rFonts w:ascii="Times New Roman" w:hAnsi="Times New Roman" w:cs="Times New Roman"/>
          <w:spacing w:val="9"/>
          <w:sz w:val="24"/>
          <w:szCs w:val="24"/>
        </w:rPr>
        <w:t>表D.1中</w:t>
      </w:r>
      <w:r>
        <w:rPr>
          <w:rFonts w:cs="宋体" w:asciiTheme="minorEastAsia" w:hAnsiTheme="minorEastAsia"/>
          <w:spacing w:val="9"/>
          <w:sz w:val="24"/>
          <w:szCs w:val="24"/>
        </w:rPr>
        <w:t>的规定执行</w:t>
      </w:r>
      <w:r>
        <w:rPr>
          <w:rFonts w:ascii="Times New Roman" w:hAnsi="Times New Roman" w:cs="Times New Roman"/>
          <w:spacing w:val="5"/>
          <w:sz w:val="24"/>
          <w:szCs w:val="24"/>
        </w:rPr>
        <w:t>。</w:t>
      </w:r>
    </w:p>
    <w:p>
      <w:pPr>
        <w:pStyle w:val="3"/>
        <w:spacing w:before="221" w:line="231" w:lineRule="auto"/>
        <w:ind w:left="2871"/>
        <w:rPr>
          <w:rFonts w:ascii="黑体" w:hAnsi="黑体" w:eastAsia="黑体"/>
          <w:bCs/>
          <w:lang w:eastAsia="zh-CN"/>
        </w:rPr>
      </w:pPr>
      <w:r>
        <w:rPr>
          <w:rFonts w:ascii="黑体" w:hAnsi="黑体" w:eastAsia="黑体"/>
          <w:bCs/>
          <w:spacing w:val="8"/>
          <w:lang w:eastAsia="zh-CN"/>
        </w:rPr>
        <w:t>表D.1 部分温室气体的全球增温潜势（</w:t>
      </w:r>
      <w:r>
        <w:rPr>
          <w:rFonts w:ascii="黑体" w:hAnsi="黑体" w:eastAsia="黑体"/>
          <w:bCs/>
          <w:lang w:eastAsia="zh-CN"/>
        </w:rPr>
        <w:t>GWP</w:t>
      </w:r>
      <w:r>
        <w:rPr>
          <w:rFonts w:ascii="黑体" w:hAnsi="黑体" w:eastAsia="黑体"/>
          <w:bCs/>
          <w:spacing w:val="8"/>
          <w:lang w:eastAsia="zh-CN"/>
        </w:rPr>
        <w:t>）</w:t>
      </w:r>
    </w:p>
    <w:p>
      <w:pPr>
        <w:spacing w:line="88" w:lineRule="exact"/>
      </w:pPr>
    </w:p>
    <w:tbl>
      <w:tblPr>
        <w:tblStyle w:val="29"/>
        <w:tblW w:w="9378" w:type="dxa"/>
        <w:tblInd w:w="7"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4272"/>
        <w:gridCol w:w="2658"/>
        <w:gridCol w:w="2448"/>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tcBorders>
              <w:bottom w:val="single" w:color="000000" w:sz="6" w:space="0"/>
            </w:tcBorders>
            <w:vAlign w:val="center"/>
          </w:tcPr>
          <w:p>
            <w:pPr>
              <w:pStyle w:val="28"/>
              <w:spacing w:line="0" w:lineRule="atLeas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4"/>
                <w:sz w:val="18"/>
                <w:szCs w:val="18"/>
              </w:rPr>
              <w:t>气体名称</w:t>
            </w:r>
          </w:p>
        </w:tc>
        <w:tc>
          <w:tcPr>
            <w:tcW w:w="2658" w:type="dxa"/>
            <w:tcBorders>
              <w:bottom w:val="single" w:color="000000" w:sz="6" w:space="0"/>
            </w:tcBorders>
            <w:vAlign w:val="center"/>
          </w:tcPr>
          <w:p>
            <w:pPr>
              <w:pStyle w:val="28"/>
              <w:spacing w:line="0" w:lineRule="atLeas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3"/>
                <w:sz w:val="18"/>
                <w:szCs w:val="18"/>
              </w:rPr>
              <w:t>化学分子式</w:t>
            </w:r>
          </w:p>
        </w:tc>
        <w:tc>
          <w:tcPr>
            <w:tcW w:w="2448" w:type="dxa"/>
            <w:tcBorders>
              <w:bottom w:val="single" w:color="000000" w:sz="6" w:space="0"/>
            </w:tcBorders>
            <w:vAlign w:val="center"/>
          </w:tcPr>
          <w:p>
            <w:pPr>
              <w:pStyle w:val="28"/>
              <w:spacing w:line="0" w:lineRule="atLeast"/>
              <w:jc w:val="center"/>
              <w:rPr>
                <w:rFonts w:ascii="Times New Roman" w:hAnsi="Times New Roman" w:cs="Times New Roman" w:eastAsiaTheme="minorEastAsia"/>
                <w:b/>
                <w:sz w:val="18"/>
                <w:szCs w:val="18"/>
              </w:rPr>
            </w:pPr>
            <w:r>
              <w:rPr>
                <w:rFonts w:ascii="Times New Roman" w:hAnsi="Times New Roman" w:cs="Times New Roman" w:eastAsiaTheme="minorEastAsia"/>
                <w:b/>
                <w:spacing w:val="6"/>
                <w:sz w:val="18"/>
                <w:szCs w:val="18"/>
              </w:rPr>
              <w:t>100年的</w:t>
            </w:r>
            <w:r>
              <w:rPr>
                <w:rFonts w:ascii="Times New Roman" w:hAnsi="Times New Roman" w:cs="Times New Roman" w:eastAsiaTheme="minorEastAsia"/>
                <w:b/>
                <w:sz w:val="18"/>
                <w:szCs w:val="18"/>
              </w:rPr>
              <w:t>GWP</w:t>
            </w:r>
          </w:p>
          <w:p>
            <w:pPr>
              <w:pStyle w:val="28"/>
              <w:spacing w:line="0" w:lineRule="atLeast"/>
              <w:jc w:val="center"/>
              <w:rPr>
                <w:rFonts w:asciiTheme="minorEastAsia" w:hAnsiTheme="minorEastAsia" w:eastAsiaTheme="minorEastAsia" w:cstheme="minorEastAsia"/>
                <w:sz w:val="18"/>
                <w:szCs w:val="18"/>
              </w:rPr>
            </w:pPr>
            <w:r>
              <w:rPr>
                <w:rFonts w:ascii="Times New Roman" w:hAnsi="Times New Roman" w:cs="Times New Roman" w:eastAsiaTheme="minorEastAsia"/>
                <w:b/>
                <w:bCs/>
                <w:spacing w:val="-3"/>
                <w:sz w:val="18"/>
                <w:szCs w:val="18"/>
              </w:rPr>
              <w:t>（kgCO</w:t>
            </w:r>
            <w:r>
              <w:rPr>
                <w:rFonts w:ascii="Times New Roman" w:hAnsi="Times New Roman" w:cs="Times New Roman" w:eastAsiaTheme="minorEastAsia"/>
                <w:b/>
                <w:bCs/>
                <w:spacing w:val="-3"/>
                <w:sz w:val="18"/>
                <w:szCs w:val="18"/>
                <w:vertAlign w:val="subscript"/>
              </w:rPr>
              <w:t>2</w:t>
            </w:r>
            <w:r>
              <w:rPr>
                <w:rFonts w:ascii="Times New Roman" w:hAnsi="Times New Roman" w:cs="Times New Roman" w:eastAsiaTheme="minorEastAsia"/>
                <w:b/>
                <w:bCs/>
                <w:spacing w:val="-3"/>
                <w:sz w:val="18"/>
                <w:szCs w:val="18"/>
              </w:rPr>
              <w:t>e/kg）</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tcBorders>
              <w:top w:val="single" w:color="000000" w:sz="6" w:space="0"/>
            </w:tcBorders>
            <w:vAlign w:val="center"/>
          </w:tcPr>
          <w:p>
            <w:pPr>
              <w:pStyle w:val="28"/>
              <w:spacing w:line="0" w:lineRule="atLeast"/>
              <w:jc w:val="center"/>
              <w:rPr>
                <w:rFonts w:ascii="Times New Roman" w:hAnsi="Times New Roman" w:cs="Times New Roman" w:eastAsiaTheme="minorEastAsia"/>
                <w:sz w:val="18"/>
                <w:szCs w:val="18"/>
              </w:rPr>
            </w:pPr>
            <w:r>
              <w:rPr>
                <w:rFonts w:ascii="Times New Roman" w:hAnsi="Times New Roman" w:cs="Times New Roman" w:eastAsiaTheme="minorEastAsia"/>
                <w:spacing w:val="-3"/>
                <w:sz w:val="18"/>
                <w:szCs w:val="18"/>
              </w:rPr>
              <w:t>二氧化碳</w:t>
            </w:r>
          </w:p>
        </w:tc>
        <w:tc>
          <w:tcPr>
            <w:tcW w:w="2658" w:type="dxa"/>
            <w:tcBorders>
              <w:top w:val="single" w:color="000000" w:sz="6" w:space="0"/>
            </w:tcBorders>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CO</w:t>
            </w:r>
            <w:r>
              <w:rPr>
                <w:rFonts w:ascii="Times New Roman" w:hAnsi="Times New Roman" w:cs="Times New Roman"/>
                <w:spacing w:val="-2"/>
                <w:position w:val="-1"/>
                <w:sz w:val="18"/>
                <w:szCs w:val="18"/>
                <w:vertAlign w:val="subscript"/>
              </w:rPr>
              <w:t>2</w:t>
            </w:r>
          </w:p>
        </w:tc>
        <w:tc>
          <w:tcPr>
            <w:tcW w:w="2448" w:type="dxa"/>
            <w:tcBorders>
              <w:top w:val="single" w:color="000000" w:sz="6" w:space="0"/>
            </w:tcBorders>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pStyle w:val="28"/>
              <w:spacing w:line="0" w:lineRule="atLeast"/>
              <w:jc w:val="center"/>
              <w:rPr>
                <w:rFonts w:ascii="Times New Roman" w:hAnsi="Times New Roman" w:cs="Times New Roman" w:eastAsiaTheme="minorEastAsia"/>
                <w:sz w:val="18"/>
                <w:szCs w:val="18"/>
              </w:rPr>
            </w:pPr>
            <w:r>
              <w:rPr>
                <w:rFonts w:ascii="Times New Roman" w:hAnsi="Times New Roman" w:cs="Times New Roman" w:eastAsiaTheme="minorEastAsia"/>
                <w:spacing w:val="-16"/>
                <w:sz w:val="18"/>
                <w:szCs w:val="18"/>
              </w:rPr>
              <w:t>甲烷</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CH</w:t>
            </w:r>
            <w:r>
              <w:rPr>
                <w:rFonts w:ascii="Times New Roman" w:hAnsi="Times New Roman" w:cs="Times New Roman"/>
                <w:spacing w:val="-2"/>
                <w:position w:val="-1"/>
                <w:sz w:val="18"/>
                <w:szCs w:val="18"/>
                <w:vertAlign w:val="subscript"/>
              </w:rPr>
              <w:t>4</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27.9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pStyle w:val="28"/>
              <w:spacing w:line="0" w:lineRule="atLeast"/>
              <w:jc w:val="center"/>
              <w:rPr>
                <w:rFonts w:ascii="Times New Roman" w:hAnsi="Times New Roman" w:cs="Times New Roman" w:eastAsiaTheme="minorEastAsia"/>
                <w:sz w:val="18"/>
                <w:szCs w:val="18"/>
              </w:rPr>
            </w:pPr>
            <w:r>
              <w:rPr>
                <w:rFonts w:ascii="Times New Roman" w:hAnsi="Times New Roman" w:cs="Times New Roman" w:eastAsiaTheme="minorEastAsia"/>
                <w:spacing w:val="-2"/>
                <w:sz w:val="18"/>
                <w:szCs w:val="18"/>
              </w:rPr>
              <w:t>氧化亚氮</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N</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O</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273</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pStyle w:val="28"/>
              <w:spacing w:line="0" w:lineRule="atLeast"/>
              <w:jc w:val="center"/>
              <w:rPr>
                <w:rFonts w:ascii="Times New Roman" w:hAnsi="Times New Roman" w:cs="Times New Roman" w:eastAsiaTheme="minorEastAsia"/>
                <w:sz w:val="18"/>
                <w:szCs w:val="18"/>
              </w:rPr>
            </w:pPr>
            <w:r>
              <w:rPr>
                <w:rFonts w:ascii="Times New Roman" w:hAnsi="Times New Roman" w:cs="Times New Roman" w:eastAsiaTheme="minorEastAsia"/>
                <w:spacing w:val="-2"/>
                <w:sz w:val="18"/>
                <w:szCs w:val="18"/>
              </w:rPr>
              <w:t>三氟化氮</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NF</w:t>
            </w:r>
            <w:r>
              <w:rPr>
                <w:rFonts w:ascii="Times New Roman" w:hAnsi="Times New Roman" w:cs="Times New Roman"/>
                <w:spacing w:val="4"/>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4"/>
                <w:sz w:val="18"/>
                <w:szCs w:val="18"/>
              </w:rPr>
              <w:t>17400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378" w:type="dxa"/>
            <w:gridSpan w:val="3"/>
            <w:vAlign w:val="center"/>
          </w:tcPr>
          <w:p>
            <w:pPr>
              <w:pStyle w:val="28"/>
              <w:spacing w:line="0" w:lineRule="atLeast"/>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pacing w:val="-1"/>
                <w:sz w:val="18"/>
                <w:szCs w:val="18"/>
                <w:lang w:eastAsia="zh-CN"/>
              </w:rPr>
              <w:t>氢氟碳化物（HFCs）</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HFC-23</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4"/>
                <w:sz w:val="18"/>
                <w:szCs w:val="18"/>
              </w:rPr>
              <w:t>14600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HFC-32</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771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HFC-41</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3</w:t>
            </w:r>
            <w:r>
              <w:rPr>
                <w:rFonts w:ascii="Times New Roman" w:hAnsi="Times New Roman" w:cs="Times New Roman"/>
                <w:spacing w:val="-1"/>
                <w:sz w:val="18"/>
                <w:szCs w:val="18"/>
              </w:rPr>
              <w:t>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7"/>
                <w:sz w:val="18"/>
                <w:szCs w:val="18"/>
              </w:rPr>
              <w:t>135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HFC-125</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3740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HFC-134</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1260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HFC-134a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FCF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1530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HFC-143</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FCHF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364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HFC-143a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3</w:t>
            </w:r>
            <w:r>
              <w:rPr>
                <w:rFonts w:ascii="Times New Roman" w:hAnsi="Times New Roman" w:cs="Times New Roman"/>
                <w:spacing w:val="-1"/>
                <w:sz w:val="18"/>
                <w:szCs w:val="18"/>
              </w:rPr>
              <w:t>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5810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HFC-152</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FCH</w:t>
            </w:r>
            <w:r>
              <w:rPr>
                <w:rFonts w:ascii="Times New Roman" w:hAnsi="Times New Roman" w:cs="Times New Roman"/>
                <w:position w:val="-1"/>
                <w:sz w:val="18"/>
                <w:szCs w:val="18"/>
                <w:vertAlign w:val="subscript"/>
              </w:rPr>
              <w:t>2</w:t>
            </w:r>
            <w:r>
              <w:rPr>
                <w:rFonts w:ascii="Times New Roman" w:hAnsi="Times New Roman" w:cs="Times New Roman"/>
                <w:sz w:val="18"/>
                <w:szCs w:val="18"/>
              </w:rPr>
              <w:t>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21.5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HFC-152a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3</w:t>
            </w: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7"/>
                <w:sz w:val="18"/>
                <w:szCs w:val="18"/>
              </w:rPr>
              <w:t>164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HFC-161</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position w:val="-1"/>
                <w:sz w:val="18"/>
                <w:szCs w:val="18"/>
                <w:vertAlign w:val="subscript"/>
              </w:rPr>
              <w:t>3</w:t>
            </w: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4.84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HFC-227ca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CF</w:t>
            </w:r>
            <w:r>
              <w:rPr>
                <w:rFonts w:ascii="Times New Roman" w:hAnsi="Times New Roman" w:cs="Times New Roman"/>
                <w:position w:val="-1"/>
                <w:sz w:val="18"/>
                <w:szCs w:val="18"/>
                <w:vertAlign w:val="subscript"/>
              </w:rPr>
              <w:t>3</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CHF</w:t>
            </w:r>
            <w:r>
              <w:rPr>
                <w:rFonts w:ascii="Times New Roman" w:hAnsi="Times New Roman" w:cs="Times New Roman"/>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2980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HFC-227ea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CF</w:t>
            </w:r>
            <w:r>
              <w:rPr>
                <w:rFonts w:ascii="Times New Roman" w:hAnsi="Times New Roman" w:cs="Times New Roman"/>
                <w:spacing w:val="-1"/>
                <w:position w:val="-1"/>
                <w:sz w:val="18"/>
                <w:szCs w:val="18"/>
                <w:vertAlign w:val="subscript"/>
              </w:rPr>
              <w:t>3</w:t>
            </w:r>
            <w:r>
              <w:rPr>
                <w:rFonts w:ascii="Times New Roman" w:hAnsi="Times New Roman" w:cs="Times New Roman"/>
                <w:spacing w:val="-1"/>
                <w:sz w:val="18"/>
                <w:szCs w:val="18"/>
              </w:rPr>
              <w:t>CHFCF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3600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HFC-236cb</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FCF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1350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HFC-236ea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CHFCF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1500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HFC</w:t>
            </w:r>
            <w:r>
              <w:rPr>
                <w:rFonts w:ascii="Times New Roman" w:hAnsi="Times New Roman" w:cs="Times New Roman"/>
                <w:spacing w:val="4"/>
                <w:sz w:val="18"/>
                <w:szCs w:val="18"/>
              </w:rPr>
              <w:t>-236</w:t>
            </w:r>
            <w:r>
              <w:rPr>
                <w:rFonts w:ascii="Times New Roman" w:hAnsi="Times New Roman" w:cs="Times New Roman"/>
                <w:sz w:val="18"/>
                <w:szCs w:val="18"/>
              </w:rPr>
              <w:t>fa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CF</w:t>
            </w:r>
            <w:r>
              <w:rPr>
                <w:rFonts w:ascii="Times New Roman" w:hAnsi="Times New Roman" w:cs="Times New Roman"/>
                <w:position w:val="-1"/>
                <w:sz w:val="18"/>
                <w:szCs w:val="18"/>
                <w:vertAlign w:val="subscript"/>
              </w:rPr>
              <w:t>3</w:t>
            </w: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8690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HFC-245ca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FCF</w:t>
            </w:r>
            <w:r>
              <w:rPr>
                <w:rFonts w:ascii="Times New Roman" w:hAnsi="Times New Roman" w:cs="Times New Roman"/>
                <w:position w:val="-1"/>
                <w:sz w:val="18"/>
                <w:szCs w:val="18"/>
                <w:vertAlign w:val="subscript"/>
              </w:rPr>
              <w:t>2</w:t>
            </w:r>
            <w:r>
              <w:rPr>
                <w:rFonts w:ascii="Times New Roman" w:hAnsi="Times New Roman" w:cs="Times New Roman"/>
                <w:sz w:val="18"/>
                <w:szCs w:val="18"/>
              </w:rPr>
              <w:t>CHF</w:t>
            </w:r>
            <w:r>
              <w:rPr>
                <w:rFonts w:ascii="Times New Roman" w:hAnsi="Times New Roman" w:cs="Times New Roman"/>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787</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HFC-245cb</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CF</w:t>
            </w:r>
            <w:r>
              <w:rPr>
                <w:rFonts w:ascii="Times New Roman" w:hAnsi="Times New Roman" w:cs="Times New Roman"/>
                <w:position w:val="-1"/>
                <w:sz w:val="18"/>
                <w:szCs w:val="18"/>
                <w:vertAlign w:val="subscript"/>
              </w:rPr>
              <w:t>3</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CH</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4550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HFC-245ea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CHF</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CHFCHF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255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HFC-245eb</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pacing w:val="-1"/>
                <w:sz w:val="18"/>
                <w:szCs w:val="18"/>
              </w:rPr>
              <w:t>FCHFCF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325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HFC</w:t>
            </w:r>
            <w:r>
              <w:rPr>
                <w:rFonts w:ascii="Times New Roman" w:hAnsi="Times New Roman" w:cs="Times New Roman"/>
                <w:spacing w:val="4"/>
                <w:sz w:val="18"/>
                <w:szCs w:val="18"/>
              </w:rPr>
              <w:t>-245</w:t>
            </w:r>
            <w:r>
              <w:rPr>
                <w:rFonts w:ascii="Times New Roman" w:hAnsi="Times New Roman" w:cs="Times New Roman"/>
                <w:sz w:val="18"/>
                <w:szCs w:val="18"/>
              </w:rPr>
              <w:t>fa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CHF</w:t>
            </w:r>
            <w:r>
              <w:rPr>
                <w:rFonts w:ascii="Times New Roman" w:hAnsi="Times New Roman" w:cs="Times New Roman"/>
                <w:position w:val="-1"/>
                <w:sz w:val="18"/>
                <w:szCs w:val="18"/>
                <w:vertAlign w:val="subscript"/>
              </w:rPr>
              <w:t>2</w:t>
            </w: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962</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HFC</w:t>
            </w:r>
            <w:r>
              <w:rPr>
                <w:rFonts w:ascii="Times New Roman" w:hAnsi="Times New Roman" w:cs="Times New Roman"/>
                <w:spacing w:val="4"/>
                <w:sz w:val="18"/>
                <w:szCs w:val="18"/>
              </w:rPr>
              <w:t>-263</w:t>
            </w:r>
            <w:r>
              <w:rPr>
                <w:rFonts w:ascii="Times New Roman" w:hAnsi="Times New Roman" w:cs="Times New Roman"/>
                <w:sz w:val="18"/>
                <w:szCs w:val="18"/>
              </w:rPr>
              <w:t>fb</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position w:val="-1"/>
                <w:sz w:val="18"/>
                <w:szCs w:val="18"/>
                <w:vertAlign w:val="subscript"/>
              </w:rPr>
              <w:t>3</w:t>
            </w: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74.8</w:t>
            </w:r>
          </w:p>
        </w:tc>
      </w:tr>
    </w:tbl>
    <w:p>
      <w:pPr>
        <w:spacing w:line="0" w:lineRule="atLeast"/>
        <w:rPr>
          <w:rFonts w:ascii="Arial" w:hAnsi="Arial" w:eastAsia="Arial" w:cs="Arial"/>
          <w:szCs w:val="21"/>
        </w:rPr>
        <w:sectPr>
          <w:footerReference r:id="rId14" w:type="default"/>
          <w:footerReference r:id="rId15" w:type="even"/>
          <w:pgSz w:w="11906" w:h="16839"/>
          <w:pgMar w:top="1150" w:right="1083" w:bottom="1041" w:left="1256" w:header="873" w:footer="879" w:gutter="0"/>
          <w:pgNumType w:start="1"/>
          <w:cols w:space="720" w:num="1"/>
        </w:sectPr>
      </w:pPr>
    </w:p>
    <w:tbl>
      <w:tblPr>
        <w:tblStyle w:val="29"/>
        <w:tblW w:w="9378" w:type="dxa"/>
        <w:tblInd w:w="7"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4272"/>
        <w:gridCol w:w="2658"/>
        <w:gridCol w:w="2448"/>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HFC-272ca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position w:val="-1"/>
                <w:sz w:val="18"/>
                <w:szCs w:val="18"/>
                <w:vertAlign w:val="subscript"/>
              </w:rPr>
              <w:t>3</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CH</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599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HFC-329p</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2890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HFC</w:t>
            </w:r>
            <w:r>
              <w:rPr>
                <w:rFonts w:ascii="Times New Roman" w:hAnsi="Times New Roman" w:cs="Times New Roman"/>
                <w:spacing w:val="3"/>
                <w:sz w:val="18"/>
                <w:szCs w:val="18"/>
              </w:rPr>
              <w:t>-365</w:t>
            </w:r>
            <w:r>
              <w:rPr>
                <w:rFonts w:ascii="Times New Roman" w:hAnsi="Times New Roman" w:cs="Times New Roman"/>
                <w:sz w:val="18"/>
                <w:szCs w:val="18"/>
              </w:rPr>
              <w:t>mfc</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CH</w:t>
            </w:r>
            <w:r>
              <w:rPr>
                <w:rFonts w:ascii="Times New Roman" w:hAnsi="Times New Roman" w:cs="Times New Roman"/>
                <w:spacing w:val="1"/>
                <w:position w:val="-1"/>
                <w:sz w:val="18"/>
                <w:szCs w:val="18"/>
                <w:vertAlign w:val="subscript"/>
              </w:rPr>
              <w:t>3</w:t>
            </w:r>
            <w:r>
              <w:rPr>
                <w:rFonts w:ascii="Times New Roman" w:hAnsi="Times New Roman" w:cs="Times New Roman"/>
                <w:sz w:val="18"/>
                <w:szCs w:val="18"/>
              </w:rPr>
              <w:t>CF</w:t>
            </w:r>
            <w:r>
              <w:rPr>
                <w:rFonts w:ascii="Times New Roman" w:hAnsi="Times New Roman" w:cs="Times New Roman"/>
                <w:spacing w:val="1"/>
                <w:position w:val="-1"/>
                <w:sz w:val="18"/>
                <w:szCs w:val="18"/>
                <w:vertAlign w:val="subscript"/>
              </w:rPr>
              <w:t>2</w:t>
            </w:r>
            <w:r>
              <w:rPr>
                <w:rFonts w:ascii="Times New Roman" w:hAnsi="Times New Roman" w:cs="Times New Roman"/>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z w:val="18"/>
                <w:szCs w:val="18"/>
              </w:rPr>
              <w:t>CF</w:t>
            </w:r>
            <w:r>
              <w:rPr>
                <w:rFonts w:ascii="Times New Roman" w:hAnsi="Times New Roman" w:cs="Times New Roman"/>
                <w:spacing w:val="1"/>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914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HFC-43-10mee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CF</w:t>
            </w:r>
            <w:r>
              <w:rPr>
                <w:rFonts w:ascii="Times New Roman" w:hAnsi="Times New Roman" w:cs="Times New Roman"/>
                <w:position w:val="-1"/>
                <w:sz w:val="18"/>
                <w:szCs w:val="18"/>
                <w:vertAlign w:val="subscript"/>
              </w:rPr>
              <w:t>3</w:t>
            </w:r>
            <w:r>
              <w:rPr>
                <w:rFonts w:ascii="Times New Roman" w:hAnsi="Times New Roman" w:cs="Times New Roman"/>
                <w:sz w:val="18"/>
                <w:szCs w:val="18"/>
              </w:rPr>
              <w:t>CHFCHFCF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1600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HFO-1123</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CHF=CF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0.005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HFO-1132a</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0.052</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HFO-1141</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CH</w:t>
            </w:r>
            <w:r>
              <w:rPr>
                <w:rFonts w:ascii="Times New Roman" w:hAnsi="Times New Roman" w:cs="Times New Roman"/>
                <w:spacing w:val="-1"/>
                <w:position w:val="1"/>
                <w:sz w:val="18"/>
                <w:szCs w:val="18"/>
                <w:vertAlign w:val="subscript"/>
              </w:rPr>
              <w:t>2</w:t>
            </w:r>
            <w:r>
              <w:rPr>
                <w:rFonts w:ascii="Times New Roman" w:hAnsi="Times New Roman" w:cs="Times New Roman"/>
                <w:spacing w:val="-1"/>
                <w:position w:val="2"/>
                <w:sz w:val="18"/>
                <w:szCs w:val="18"/>
              </w:rPr>
              <w:t>=CHF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0.024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HFO-1225ye（Z）</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（Z）-CF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CF=CHF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0.344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HFO-1225ye（E）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（E）-CF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CF=CHF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0.118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HFO-1234ze（Z）</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（Z）-CF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CH=CHF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0.315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HFO-1234ze（E）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（E）-CF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CH=CHF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1.37</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HFO</w:t>
            </w:r>
            <w:r>
              <w:rPr>
                <w:rFonts w:ascii="Times New Roman" w:hAnsi="Times New Roman" w:cs="Times New Roman"/>
                <w:spacing w:val="2"/>
                <w:sz w:val="18"/>
                <w:szCs w:val="18"/>
              </w:rPr>
              <w:t>-1234</w:t>
            </w:r>
            <w:r>
              <w:rPr>
                <w:rFonts w:ascii="Times New Roman" w:hAnsi="Times New Roman" w:cs="Times New Roman"/>
                <w:sz w:val="18"/>
                <w:szCs w:val="18"/>
              </w:rPr>
              <w:t>yf</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3</w:t>
            </w:r>
            <w:r>
              <w:rPr>
                <w:rFonts w:ascii="Times New Roman" w:hAnsi="Times New Roman" w:cs="Times New Roman"/>
                <w:spacing w:val="-1"/>
                <w:position w:val="2"/>
                <w:sz w:val="18"/>
                <w:szCs w:val="18"/>
              </w:rPr>
              <w:t>CF=CH</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0.501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HFO-1336mzz（E）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（E）-CF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CH=CHCF</w:t>
            </w:r>
            <w:r>
              <w:rPr>
                <w:rFonts w:ascii="Times New Roman" w:hAnsi="Times New Roman" w:cs="Times New Roman"/>
                <w:spacing w:val="-1"/>
                <w:position w:val="2"/>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6"/>
                <w:sz w:val="18"/>
                <w:szCs w:val="18"/>
              </w:rPr>
              <w:t>17.9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HFO-1336mzz（Z）</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（Z）-CF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CH=CHCF</w:t>
            </w:r>
            <w:r>
              <w:rPr>
                <w:rFonts w:ascii="Times New Roman" w:hAnsi="Times New Roman" w:cs="Times New Roman"/>
                <w:spacing w:val="-1"/>
                <w:position w:val="2"/>
                <w:sz w:val="18"/>
                <w:szCs w:val="18"/>
                <w:vertAlign w:val="subscript"/>
              </w:rPr>
              <w:t>3</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2.08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HFO</w:t>
            </w:r>
            <w:r>
              <w:rPr>
                <w:rFonts w:ascii="Times New Roman" w:hAnsi="Times New Roman" w:cs="Times New Roman"/>
                <w:spacing w:val="3"/>
                <w:sz w:val="18"/>
                <w:szCs w:val="18"/>
              </w:rPr>
              <w:t>-1243</w:t>
            </w:r>
            <w:r>
              <w:rPr>
                <w:rFonts w:ascii="Times New Roman" w:hAnsi="Times New Roman" w:cs="Times New Roman"/>
                <w:sz w:val="18"/>
                <w:szCs w:val="18"/>
              </w:rPr>
              <w:t>zf</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3</w:t>
            </w:r>
            <w:r>
              <w:rPr>
                <w:rFonts w:ascii="Times New Roman" w:hAnsi="Times New Roman" w:cs="Times New Roman"/>
                <w:spacing w:val="-1"/>
                <w:position w:val="2"/>
                <w:sz w:val="18"/>
                <w:szCs w:val="18"/>
              </w:rPr>
              <w:t>CH=CH</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0.261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HFO</w:t>
            </w:r>
            <w:r>
              <w:rPr>
                <w:rFonts w:ascii="Times New Roman" w:hAnsi="Times New Roman" w:cs="Times New Roman"/>
                <w:spacing w:val="2"/>
                <w:sz w:val="18"/>
                <w:szCs w:val="18"/>
              </w:rPr>
              <w:t>-1345</w:t>
            </w:r>
            <w:r>
              <w:rPr>
                <w:rFonts w:ascii="Times New Roman" w:hAnsi="Times New Roman" w:cs="Times New Roman"/>
                <w:sz w:val="18"/>
                <w:szCs w:val="18"/>
              </w:rPr>
              <w:t>zfc</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position w:val="2"/>
                <w:sz w:val="18"/>
                <w:szCs w:val="18"/>
              </w:rPr>
              <w:t>CF</w:t>
            </w:r>
            <w:r>
              <w:rPr>
                <w:rFonts w:ascii="Times New Roman" w:hAnsi="Times New Roman" w:cs="Times New Roman"/>
                <w:position w:val="1"/>
                <w:sz w:val="18"/>
                <w:szCs w:val="18"/>
                <w:vertAlign w:val="subscript"/>
              </w:rPr>
              <w:t>3</w:t>
            </w:r>
            <w:r>
              <w:rPr>
                <w:rFonts w:ascii="Times New Roman" w:hAnsi="Times New Roman" w:cs="Times New Roman"/>
                <w:position w:val="2"/>
                <w:sz w:val="18"/>
                <w:szCs w:val="18"/>
              </w:rPr>
              <w:t>CF</w:t>
            </w:r>
            <w:r>
              <w:rPr>
                <w:rFonts w:ascii="Times New Roman" w:hAnsi="Times New Roman" w:cs="Times New Roman"/>
                <w:position w:val="1"/>
                <w:sz w:val="18"/>
                <w:szCs w:val="18"/>
                <w:vertAlign w:val="subscript"/>
              </w:rPr>
              <w:t>2</w:t>
            </w:r>
            <w:r>
              <w:rPr>
                <w:rFonts w:ascii="Times New Roman" w:hAnsi="Times New Roman" w:cs="Times New Roman"/>
                <w:position w:val="2"/>
                <w:sz w:val="18"/>
                <w:szCs w:val="18"/>
              </w:rPr>
              <w:t>CH=CH</w:t>
            </w:r>
            <w:r>
              <w:rPr>
                <w:rFonts w:ascii="Times New Roman" w:hAnsi="Times New Roman" w:cs="Times New Roman"/>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0.182</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3,3,4,4,5,5,6,6,6-Nonafluoro</w:t>
            </w:r>
            <w:r>
              <w:rPr>
                <w:rFonts w:ascii="Times New Roman" w:hAnsi="Times New Roman" w:cs="Times New Roman"/>
                <w:spacing w:val="-1"/>
                <w:sz w:val="18"/>
                <w:szCs w:val="18"/>
              </w:rPr>
              <w:t>hex-1-ene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position w:val="2"/>
                <w:sz w:val="18"/>
                <w:szCs w:val="18"/>
              </w:rPr>
              <w:t>n-C</w:t>
            </w:r>
            <w:r>
              <w:rPr>
                <w:rFonts w:ascii="Times New Roman" w:hAnsi="Times New Roman" w:cs="Times New Roman"/>
                <w:position w:val="1"/>
                <w:sz w:val="18"/>
                <w:szCs w:val="18"/>
                <w:vertAlign w:val="subscript"/>
              </w:rPr>
              <w:t>4</w:t>
            </w:r>
            <w:r>
              <w:rPr>
                <w:rFonts w:ascii="Times New Roman" w:hAnsi="Times New Roman" w:cs="Times New Roman"/>
                <w:position w:val="2"/>
                <w:sz w:val="18"/>
                <w:szCs w:val="18"/>
              </w:rPr>
              <w:t>F</w:t>
            </w:r>
            <w:r>
              <w:rPr>
                <w:rFonts w:ascii="Times New Roman" w:hAnsi="Times New Roman" w:cs="Times New Roman"/>
                <w:position w:val="1"/>
                <w:sz w:val="18"/>
                <w:szCs w:val="18"/>
                <w:vertAlign w:val="subscript"/>
              </w:rPr>
              <w:t>9</w:t>
            </w:r>
            <w:r>
              <w:rPr>
                <w:rFonts w:ascii="Times New Roman" w:hAnsi="Times New Roman" w:cs="Times New Roman"/>
                <w:position w:val="2"/>
                <w:sz w:val="18"/>
                <w:szCs w:val="18"/>
              </w:rPr>
              <w:t>CH=CH</w:t>
            </w:r>
            <w:r>
              <w:rPr>
                <w:rFonts w:ascii="Times New Roman" w:hAnsi="Times New Roman" w:cs="Times New Roman"/>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0.204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3,3,4,4,5,5,6,6,7,7,8,8,8-Tridecaf</w:t>
            </w:r>
            <w:r>
              <w:rPr>
                <w:rFonts w:ascii="Times New Roman" w:hAnsi="Times New Roman" w:cs="Times New Roman"/>
                <w:spacing w:val="-1"/>
                <w:sz w:val="18"/>
                <w:szCs w:val="18"/>
              </w:rPr>
              <w:t>luorooct-1-ene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n-C</w:t>
            </w:r>
            <w:r>
              <w:rPr>
                <w:rFonts w:ascii="Times New Roman" w:hAnsi="Times New Roman" w:cs="Times New Roman"/>
                <w:spacing w:val="1"/>
                <w:position w:val="1"/>
                <w:sz w:val="18"/>
                <w:szCs w:val="18"/>
                <w:vertAlign w:val="subscript"/>
              </w:rPr>
              <w:t>6</w:t>
            </w:r>
            <w:r>
              <w:rPr>
                <w:rFonts w:ascii="Times New Roman" w:hAnsi="Times New Roman" w:cs="Times New Roman"/>
                <w:spacing w:val="1"/>
                <w:position w:val="2"/>
                <w:sz w:val="18"/>
                <w:szCs w:val="18"/>
              </w:rPr>
              <w:t>F</w:t>
            </w:r>
            <w:r>
              <w:rPr>
                <w:rFonts w:ascii="Times New Roman" w:hAnsi="Times New Roman" w:cs="Times New Roman"/>
                <w:spacing w:val="1"/>
                <w:position w:val="1"/>
                <w:sz w:val="18"/>
                <w:szCs w:val="18"/>
                <w:vertAlign w:val="subscript"/>
              </w:rPr>
              <w:t>13</w:t>
            </w:r>
            <w:r>
              <w:rPr>
                <w:rFonts w:ascii="Times New Roman" w:hAnsi="Times New Roman" w:cs="Times New Roman"/>
                <w:position w:val="2"/>
                <w:sz w:val="18"/>
                <w:szCs w:val="18"/>
              </w:rPr>
              <w:t>CH</w:t>
            </w:r>
            <w:r>
              <w:rPr>
                <w:rFonts w:ascii="Times New Roman" w:hAnsi="Times New Roman" w:cs="Times New Roman"/>
                <w:spacing w:val="1"/>
                <w:position w:val="2"/>
                <w:sz w:val="18"/>
                <w:szCs w:val="18"/>
              </w:rPr>
              <w:t>=</w:t>
            </w:r>
            <w:r>
              <w:rPr>
                <w:rFonts w:ascii="Times New Roman" w:hAnsi="Times New Roman" w:cs="Times New Roman"/>
                <w:position w:val="2"/>
                <w:sz w:val="18"/>
                <w:szCs w:val="18"/>
              </w:rPr>
              <w:t>CH</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0.162</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3,3,4,4,5,5,6,6,7,7,8,8,9,9,10,10,</w:t>
            </w:r>
            <w:r>
              <w:rPr>
                <w:rFonts w:ascii="Times New Roman" w:hAnsi="Times New Roman" w:cs="Times New Roman"/>
                <w:spacing w:val="-24"/>
                <w:sz w:val="18"/>
                <w:szCs w:val="18"/>
              </w:rPr>
              <w:t xml:space="preserve"> </w:t>
            </w:r>
            <w:r>
              <w:rPr>
                <w:rFonts w:ascii="Times New Roman" w:hAnsi="Times New Roman" w:cs="Times New Roman"/>
                <w:spacing w:val="-1"/>
                <w:sz w:val="18"/>
                <w:szCs w:val="18"/>
              </w:rPr>
              <w:t>10-Heptadecafluor</w:t>
            </w:r>
            <w:r>
              <w:rPr>
                <w:rFonts w:ascii="Times New Roman" w:hAnsi="Times New Roman" w:cs="Times New Roman"/>
                <w:spacing w:val="-2"/>
                <w:sz w:val="18"/>
                <w:szCs w:val="18"/>
              </w:rPr>
              <w:t>odec-1-</w:t>
            </w:r>
            <w:r>
              <w:rPr>
                <w:rFonts w:ascii="Times New Roman" w:hAnsi="Times New Roman" w:cs="Times New Roman"/>
                <w:spacing w:val="-3"/>
                <w:sz w:val="18"/>
                <w:szCs w:val="18"/>
              </w:rPr>
              <w:t>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n-C</w:t>
            </w:r>
            <w:r>
              <w:rPr>
                <w:rFonts w:ascii="Times New Roman" w:hAnsi="Times New Roman" w:cs="Times New Roman"/>
                <w:spacing w:val="1"/>
                <w:position w:val="1"/>
                <w:sz w:val="18"/>
                <w:szCs w:val="18"/>
                <w:vertAlign w:val="subscript"/>
              </w:rPr>
              <w:t>8</w:t>
            </w:r>
            <w:r>
              <w:rPr>
                <w:rFonts w:ascii="Times New Roman" w:hAnsi="Times New Roman" w:cs="Times New Roman"/>
                <w:spacing w:val="1"/>
                <w:position w:val="2"/>
                <w:sz w:val="18"/>
                <w:szCs w:val="18"/>
              </w:rPr>
              <w:t>F</w:t>
            </w:r>
            <w:r>
              <w:rPr>
                <w:rFonts w:ascii="Times New Roman" w:hAnsi="Times New Roman" w:cs="Times New Roman"/>
                <w:spacing w:val="1"/>
                <w:position w:val="1"/>
                <w:sz w:val="18"/>
                <w:szCs w:val="18"/>
                <w:vertAlign w:val="subscript"/>
              </w:rPr>
              <w:t>17</w:t>
            </w:r>
            <w:r>
              <w:rPr>
                <w:rFonts w:ascii="Times New Roman" w:hAnsi="Times New Roman" w:cs="Times New Roman"/>
                <w:position w:val="2"/>
                <w:sz w:val="18"/>
                <w:szCs w:val="18"/>
              </w:rPr>
              <w:t>CH</w:t>
            </w:r>
            <w:r>
              <w:rPr>
                <w:rFonts w:ascii="Times New Roman" w:hAnsi="Times New Roman" w:cs="Times New Roman"/>
                <w:spacing w:val="1"/>
                <w:position w:val="2"/>
                <w:sz w:val="18"/>
                <w:szCs w:val="18"/>
              </w:rPr>
              <w:t>=</w:t>
            </w:r>
            <w:r>
              <w:rPr>
                <w:rFonts w:ascii="Times New Roman" w:hAnsi="Times New Roman" w:cs="Times New Roman"/>
                <w:position w:val="2"/>
                <w:sz w:val="18"/>
                <w:szCs w:val="18"/>
              </w:rPr>
              <w:t>CH</w:t>
            </w:r>
            <w:r>
              <w:rPr>
                <w:rFonts w:ascii="Times New Roman" w:hAnsi="Times New Roman" w:cs="Times New Roman"/>
                <w:spacing w:val="1"/>
                <w:position w:val="1"/>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6"/>
                <w:sz w:val="18"/>
                <w:szCs w:val="18"/>
              </w:rPr>
              <w:t>0.141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3,3,3-trifluoro-2-（trifluoromethyl）pr</w:t>
            </w:r>
            <w:r>
              <w:rPr>
                <w:rFonts w:ascii="Times New Roman" w:hAnsi="Times New Roman" w:cs="Times New Roman"/>
                <w:spacing w:val="-1"/>
                <w:sz w:val="18"/>
                <w:szCs w:val="18"/>
              </w:rPr>
              <w:t>op-1-ene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w:t>
            </w:r>
            <w:r>
              <w:rPr>
                <w:rFonts w:ascii="Times New Roman" w:hAnsi="Times New Roman" w:cs="Times New Roman"/>
                <w:spacing w:val="-1"/>
                <w:position w:val="2"/>
                <w:sz w:val="18"/>
                <w:szCs w:val="18"/>
                <w:vertAlign w:val="subscript"/>
              </w:rPr>
              <w:t>2</w:t>
            </w:r>
            <w:r>
              <w:rPr>
                <w:rFonts w:ascii="Times New Roman" w:hAnsi="Times New Roman" w:cs="Times New Roman"/>
                <w:spacing w:val="-1"/>
                <w:position w:val="3"/>
                <w:sz w:val="18"/>
                <w:szCs w:val="18"/>
              </w:rPr>
              <w:t>C=CH</w:t>
            </w:r>
            <w:r>
              <w:rPr>
                <w:rFonts w:ascii="Times New Roman" w:hAnsi="Times New Roman" w:cs="Times New Roman"/>
                <w:spacing w:val="-1"/>
                <w:position w:val="2"/>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0.377</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1,1,2,2,3,3-hexafluorocyc</w:t>
            </w:r>
            <w:r>
              <w:rPr>
                <w:rFonts w:ascii="Times New Roman" w:hAnsi="Times New Roman" w:cs="Times New Roman"/>
                <w:spacing w:val="-2"/>
                <w:sz w:val="18"/>
                <w:szCs w:val="18"/>
              </w:rPr>
              <w:t>lopentane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position w:val="1"/>
                <w:sz w:val="18"/>
                <w:szCs w:val="18"/>
              </w:rPr>
              <w:t>cyc</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CH</w:t>
            </w:r>
            <w:r>
              <w:rPr>
                <w:rFonts w:ascii="Times New Roman" w:hAnsi="Times New Roman" w:cs="Times New Roman"/>
                <w:position w:val="-1"/>
                <w:sz w:val="18"/>
                <w:szCs w:val="18"/>
                <w:vertAlign w:val="subscript"/>
              </w:rPr>
              <w:t>2</w:t>
            </w:r>
            <w:r>
              <w:rPr>
                <w:rFonts w:ascii="Times New Roman" w:hAnsi="Times New Roman" w:cs="Times New Roman"/>
                <w:sz w:val="18"/>
                <w:szCs w:val="18"/>
              </w:rPr>
              <w:t>-）</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7"/>
                <w:sz w:val="18"/>
                <w:szCs w:val="18"/>
              </w:rPr>
              <w:t>120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1,1,2,2,3,3,4-heptafluorocyclop</w:t>
            </w:r>
            <w:r>
              <w:rPr>
                <w:rFonts w:ascii="Times New Roman" w:hAnsi="Times New Roman" w:cs="Times New Roman"/>
                <w:spacing w:val="-2"/>
                <w:sz w:val="18"/>
                <w:szCs w:val="18"/>
              </w:rPr>
              <w:t>entane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position w:val="1"/>
                <w:sz w:val="18"/>
                <w:szCs w:val="18"/>
              </w:rPr>
              <w:t>cyc</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CHFCH</w:t>
            </w:r>
            <w:r>
              <w:rPr>
                <w:rFonts w:ascii="Times New Roman" w:hAnsi="Times New Roman" w:cs="Times New Roman"/>
                <w:position w:val="-1"/>
                <w:sz w:val="18"/>
                <w:szCs w:val="18"/>
                <w:vertAlign w:val="subscript"/>
              </w:rPr>
              <w:t>2</w:t>
            </w:r>
            <w:r>
              <w:rPr>
                <w:rFonts w:ascii="Times New Roman" w:hAnsi="Times New Roman" w:cs="Times New Roman"/>
                <w:sz w:val="18"/>
                <w:szCs w:val="18"/>
              </w:rPr>
              <w:t>-）</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231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1,3,3,4,4,5,5-heptafluorocyclopentene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position w:val="1"/>
                <w:sz w:val="18"/>
                <w:szCs w:val="18"/>
              </w:rPr>
              <w:t>cyc</w:t>
            </w: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CF=CH-）</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45.1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（4s,5s）-1,1,2,2,3,3,4,5-octafluorocyclopentane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trans-cyc（-</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CF</w:t>
            </w:r>
            <w:r>
              <w:rPr>
                <w:rFonts w:ascii="Times New Roman" w:hAnsi="Times New Roman" w:cs="Times New Roman"/>
                <w:position w:val="-1"/>
                <w:sz w:val="18"/>
                <w:szCs w:val="18"/>
                <w:vertAlign w:val="subscript"/>
              </w:rPr>
              <w:t>2</w:t>
            </w:r>
            <w:r>
              <w:rPr>
                <w:rFonts w:ascii="Times New Roman" w:hAnsi="Times New Roman" w:cs="Times New Roman"/>
                <w:sz w:val="18"/>
                <w:szCs w:val="18"/>
              </w:rPr>
              <w:t>CHFCHF-）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258</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HFO-1438ezy（E）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（E）-（CF</w:t>
            </w:r>
            <w:r>
              <w:rPr>
                <w:rFonts w:ascii="Times New Roman" w:hAnsi="Times New Roman" w:cs="Times New Roman"/>
                <w:spacing w:val="-1"/>
                <w:position w:val="2"/>
                <w:sz w:val="18"/>
                <w:szCs w:val="18"/>
                <w:vertAlign w:val="subscript"/>
              </w:rPr>
              <w:t>3</w:t>
            </w:r>
            <w:r>
              <w:rPr>
                <w:rFonts w:ascii="Times New Roman" w:hAnsi="Times New Roman" w:cs="Times New Roman"/>
                <w:spacing w:val="-1"/>
                <w:position w:val="3"/>
                <w:sz w:val="18"/>
                <w:szCs w:val="18"/>
              </w:rPr>
              <w:t>）</w:t>
            </w:r>
            <w:r>
              <w:rPr>
                <w:rFonts w:ascii="Times New Roman" w:hAnsi="Times New Roman" w:cs="Times New Roman"/>
                <w:spacing w:val="-1"/>
                <w:position w:val="2"/>
                <w:sz w:val="18"/>
                <w:szCs w:val="18"/>
                <w:vertAlign w:val="subscript"/>
              </w:rPr>
              <w:t>2</w:t>
            </w:r>
            <w:r>
              <w:rPr>
                <w:rFonts w:ascii="Times New Roman" w:hAnsi="Times New Roman" w:cs="Times New Roman"/>
                <w:spacing w:val="-1"/>
                <w:position w:val="3"/>
                <w:sz w:val="18"/>
                <w:szCs w:val="18"/>
              </w:rPr>
              <w:t>CFCH=CHF</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8.22</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HFO</w:t>
            </w:r>
            <w:r>
              <w:rPr>
                <w:rFonts w:ascii="Times New Roman" w:hAnsi="Times New Roman" w:cs="Times New Roman"/>
                <w:spacing w:val="3"/>
                <w:sz w:val="18"/>
                <w:szCs w:val="18"/>
              </w:rPr>
              <w:t>-1447</w:t>
            </w:r>
            <w:r>
              <w:rPr>
                <w:rFonts w:ascii="Times New Roman" w:hAnsi="Times New Roman" w:cs="Times New Roman"/>
                <w:sz w:val="18"/>
                <w:szCs w:val="18"/>
              </w:rPr>
              <w:t>fz</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3</w:t>
            </w: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CH=CH</w:t>
            </w:r>
            <w:r>
              <w:rPr>
                <w:rFonts w:ascii="Times New Roman" w:hAnsi="Times New Roman" w:cs="Times New Roman"/>
                <w:position w:val="2"/>
                <w:sz w:val="18"/>
                <w:szCs w:val="18"/>
                <w:vertAlign w:val="subscript"/>
              </w:rPr>
              <w:t>2</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0.235</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1,3,3,4,4-pentafluorocyclobutene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cyc（-CH=CFCF</w:t>
            </w:r>
            <w:r>
              <w:rPr>
                <w:rFonts w:ascii="Times New Roman" w:hAnsi="Times New Roman" w:cs="Times New Roman"/>
                <w:spacing w:val="-1"/>
                <w:position w:val="2"/>
                <w:sz w:val="18"/>
                <w:szCs w:val="18"/>
                <w:vertAlign w:val="subscript"/>
              </w:rPr>
              <w:t>2</w:t>
            </w:r>
            <w:r>
              <w:rPr>
                <w:rFonts w:ascii="Times New Roman" w:hAnsi="Times New Roman" w:cs="Times New Roman"/>
                <w:spacing w:val="-1"/>
                <w:position w:val="3"/>
                <w:sz w:val="18"/>
                <w:szCs w:val="18"/>
              </w:rPr>
              <w:t>CF</w:t>
            </w:r>
            <w:r>
              <w:rPr>
                <w:rFonts w:ascii="Times New Roman" w:hAnsi="Times New Roman" w:cs="Times New Roman"/>
                <w:spacing w:val="-1"/>
                <w:position w:val="2"/>
                <w:sz w:val="18"/>
                <w:szCs w:val="18"/>
                <w:vertAlign w:val="subscript"/>
              </w:rPr>
              <w:t>2</w:t>
            </w:r>
            <w:r>
              <w:rPr>
                <w:rFonts w:ascii="Times New Roman" w:hAnsi="Times New Roman" w:cs="Times New Roman"/>
                <w:spacing w:val="-1"/>
                <w:position w:val="3"/>
                <w:sz w:val="18"/>
                <w:szCs w:val="18"/>
              </w:rPr>
              <w:t>-）</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92.4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3,3,4,4-tetrafluorocy</w:t>
            </w:r>
            <w:r>
              <w:rPr>
                <w:rFonts w:ascii="Times New Roman" w:hAnsi="Times New Roman" w:cs="Times New Roman"/>
                <w:spacing w:val="-1"/>
                <w:sz w:val="18"/>
                <w:szCs w:val="18"/>
              </w:rPr>
              <w:t>clobutene</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cyc（-CH=CHCF</w:t>
            </w:r>
            <w:r>
              <w:rPr>
                <w:rFonts w:ascii="Times New Roman" w:hAnsi="Times New Roman" w:cs="Times New Roman"/>
                <w:position w:val="2"/>
                <w:sz w:val="18"/>
                <w:szCs w:val="18"/>
                <w:vertAlign w:val="subscript"/>
              </w:rPr>
              <w:t>2</w:t>
            </w:r>
            <w:r>
              <w:rPr>
                <w:rFonts w:ascii="Times New Roman" w:hAnsi="Times New Roman" w:cs="Times New Roman"/>
                <w:spacing w:val="-1"/>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spacing w:val="-1"/>
                <w:position w:val="3"/>
                <w:sz w:val="18"/>
                <w:szCs w:val="18"/>
              </w:rPr>
              <w:t>-）</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25.6</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378" w:type="dxa"/>
            <w:gridSpan w:val="3"/>
            <w:vAlign w:val="center"/>
          </w:tcPr>
          <w:p>
            <w:pPr>
              <w:pStyle w:val="28"/>
              <w:spacing w:line="0" w:lineRule="atLeast"/>
              <w:jc w:val="center"/>
              <w:rPr>
                <w:rFonts w:ascii="Times New Roman" w:hAnsi="Times New Roman" w:cs="Times New Roman" w:eastAsiaTheme="minorEastAsia"/>
                <w:sz w:val="18"/>
                <w:szCs w:val="18"/>
                <w:lang w:eastAsia="zh-CN"/>
              </w:rPr>
            </w:pPr>
            <w:r>
              <w:rPr>
                <w:rFonts w:ascii="Times New Roman" w:hAnsi="Times New Roman" w:cs="Times New Roman" w:eastAsiaTheme="minorEastAsia"/>
                <w:spacing w:val="-1"/>
                <w:sz w:val="18"/>
                <w:szCs w:val="18"/>
              </w:rPr>
              <w:t>全氟碳化物</w:t>
            </w:r>
            <w:r>
              <w:rPr>
                <w:rFonts w:ascii="Times New Roman" w:hAnsi="Times New Roman" w:cs="Times New Roman" w:eastAsiaTheme="minorEastAsia"/>
                <w:spacing w:val="-1"/>
                <w:sz w:val="18"/>
                <w:szCs w:val="18"/>
                <w:lang w:eastAsia="zh-CN"/>
              </w:rPr>
              <w:t>（</w:t>
            </w:r>
            <w:r>
              <w:rPr>
                <w:rFonts w:ascii="Times New Roman" w:hAnsi="Times New Roman" w:cs="Times New Roman" w:eastAsiaTheme="minorEastAsia"/>
                <w:spacing w:val="-1"/>
                <w:sz w:val="18"/>
                <w:szCs w:val="18"/>
              </w:rPr>
              <w:t>PFCs</w:t>
            </w:r>
            <w:r>
              <w:rPr>
                <w:rFonts w:ascii="Times New Roman" w:hAnsi="Times New Roman" w:cs="Times New Roman" w:eastAsiaTheme="minorEastAsia"/>
                <w:spacing w:val="-1"/>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PFC-14</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CF</w:t>
            </w:r>
            <w:r>
              <w:rPr>
                <w:rFonts w:ascii="Times New Roman" w:hAnsi="Times New Roman" w:cs="Times New Roman"/>
                <w:spacing w:val="-2"/>
                <w:sz w:val="18"/>
                <w:szCs w:val="18"/>
                <w:vertAlign w:val="subscript"/>
              </w:rPr>
              <w:t>4</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7380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PFC-116</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w:t>
            </w:r>
            <w:r>
              <w:rPr>
                <w:rFonts w:ascii="Times New Roman" w:hAnsi="Times New Roman" w:cs="Times New Roman"/>
                <w:position w:val="2"/>
                <w:sz w:val="18"/>
                <w:szCs w:val="18"/>
                <w:vertAlign w:val="subscript"/>
              </w:rPr>
              <w:t>2</w:t>
            </w:r>
            <w:r>
              <w:rPr>
                <w:rFonts w:ascii="Times New Roman" w:hAnsi="Times New Roman" w:cs="Times New Roman"/>
                <w:spacing w:val="-1"/>
                <w:sz w:val="18"/>
                <w:szCs w:val="18"/>
              </w:rPr>
              <w:t>F</w:t>
            </w:r>
            <w:r>
              <w:rPr>
                <w:rFonts w:ascii="Times New Roman" w:hAnsi="Times New Roman" w:cs="Times New Roman"/>
                <w:position w:val="2"/>
                <w:sz w:val="18"/>
                <w:szCs w:val="18"/>
                <w:vertAlign w:val="subscript"/>
              </w:rPr>
              <w:t>6</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4"/>
                <w:sz w:val="18"/>
                <w:szCs w:val="18"/>
              </w:rPr>
              <w:t>12400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27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PFC-218</w:t>
            </w:r>
          </w:p>
        </w:tc>
        <w:tc>
          <w:tcPr>
            <w:tcW w:w="265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C</w:t>
            </w:r>
            <w:r>
              <w:rPr>
                <w:rFonts w:ascii="Times New Roman" w:hAnsi="Times New Roman" w:cs="Times New Roman"/>
                <w:position w:val="2"/>
                <w:sz w:val="18"/>
                <w:szCs w:val="18"/>
                <w:vertAlign w:val="subscript"/>
              </w:rPr>
              <w:t>3</w:t>
            </w:r>
            <w:r>
              <w:rPr>
                <w:rFonts w:ascii="Times New Roman" w:hAnsi="Times New Roman" w:cs="Times New Roman"/>
                <w:spacing w:val="-1"/>
                <w:sz w:val="18"/>
                <w:szCs w:val="18"/>
              </w:rPr>
              <w:t>F</w:t>
            </w:r>
            <w:r>
              <w:rPr>
                <w:rFonts w:ascii="Times New Roman" w:hAnsi="Times New Roman" w:cs="Times New Roman"/>
                <w:position w:val="2"/>
                <w:sz w:val="18"/>
                <w:szCs w:val="18"/>
                <w:vertAlign w:val="subscript"/>
              </w:rPr>
              <w:t>8</w:t>
            </w:r>
          </w:p>
        </w:tc>
        <w:tc>
          <w:tcPr>
            <w:tcW w:w="2448"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9290</w:t>
            </w:r>
          </w:p>
        </w:tc>
      </w:tr>
    </w:tbl>
    <w:p>
      <w:pPr>
        <w:spacing w:line="0" w:lineRule="atLeast"/>
        <w:rPr>
          <w:rFonts w:ascii="Arial"/>
        </w:rPr>
      </w:pPr>
    </w:p>
    <w:p>
      <w:pPr>
        <w:spacing w:line="0" w:lineRule="atLeast"/>
        <w:rPr>
          <w:rFonts w:ascii="Arial" w:hAnsi="Arial" w:eastAsia="Arial" w:cs="Arial"/>
          <w:szCs w:val="21"/>
        </w:rPr>
        <w:sectPr>
          <w:headerReference r:id="rId16" w:type="default"/>
          <w:footerReference r:id="rId17" w:type="default"/>
          <w:pgSz w:w="11906" w:h="16839"/>
          <w:pgMar w:top="1134" w:right="1083" w:bottom="1041" w:left="1256" w:header="873" w:footer="879" w:gutter="0"/>
          <w:cols w:space="720" w:num="1"/>
        </w:sectPr>
      </w:pPr>
    </w:p>
    <w:tbl>
      <w:tblPr>
        <w:tblStyle w:val="29"/>
        <w:tblW w:w="9378" w:type="dxa"/>
        <w:tblInd w:w="124"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fixed"/>
        <w:tblCellMar>
          <w:top w:w="0" w:type="dxa"/>
          <w:left w:w="0" w:type="dxa"/>
          <w:bottom w:w="0" w:type="dxa"/>
          <w:right w:w="0" w:type="dxa"/>
        </w:tblCellMar>
      </w:tblPr>
      <w:tblGrid>
        <w:gridCol w:w="3949"/>
        <w:gridCol w:w="2827"/>
        <w:gridCol w:w="2602"/>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Hexafluorocyclobutene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3"/>
                <w:sz w:val="18"/>
                <w:szCs w:val="18"/>
              </w:rPr>
              <w:t>cyc（-CF=CFCF</w:t>
            </w:r>
            <w:r>
              <w:rPr>
                <w:rFonts w:ascii="Times New Roman" w:hAnsi="Times New Roman" w:cs="Times New Roman"/>
                <w:position w:val="2"/>
                <w:sz w:val="18"/>
                <w:szCs w:val="18"/>
                <w:vertAlign w:val="subscript"/>
              </w:rPr>
              <w:t>2</w:t>
            </w:r>
            <w:r>
              <w:rPr>
                <w:rFonts w:ascii="Times New Roman" w:hAnsi="Times New Roman" w:cs="Times New Roman"/>
                <w:spacing w:val="-1"/>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spacing w:val="-1"/>
                <w:position w:val="3"/>
                <w:sz w:val="18"/>
                <w:szCs w:val="18"/>
              </w:rPr>
              <w:t>-）</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7"/>
                <w:sz w:val="18"/>
                <w:szCs w:val="18"/>
              </w:rPr>
              <w:t>126</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PFC-C-318</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cyc（-CF</w:t>
            </w:r>
            <w:r>
              <w:rPr>
                <w:rFonts w:ascii="Times New Roman" w:hAnsi="Times New Roman" w:cs="Times New Roman"/>
                <w:position w:val="2"/>
                <w:sz w:val="18"/>
                <w:szCs w:val="18"/>
                <w:vertAlign w:val="subscript"/>
              </w:rPr>
              <w:t>2</w:t>
            </w:r>
            <w:r>
              <w:rPr>
                <w:rFonts w:ascii="Times New Roman" w:hAnsi="Times New Roman" w:cs="Times New Roman"/>
                <w:sz w:val="18"/>
                <w:szCs w:val="18"/>
              </w:rPr>
              <w:t>CF</w:t>
            </w:r>
            <w:r>
              <w:rPr>
                <w:rFonts w:ascii="Times New Roman" w:hAnsi="Times New Roman" w:cs="Times New Roman"/>
                <w:position w:val="2"/>
                <w:sz w:val="18"/>
                <w:szCs w:val="18"/>
                <w:vertAlign w:val="subscript"/>
              </w:rPr>
              <w:t>2</w:t>
            </w:r>
            <w:r>
              <w:rPr>
                <w:rFonts w:ascii="Times New Roman" w:hAnsi="Times New Roman" w:cs="Times New Roman"/>
                <w:sz w:val="18"/>
                <w:szCs w:val="18"/>
              </w:rPr>
              <w:t>CF</w:t>
            </w:r>
            <w:r>
              <w:rPr>
                <w:rFonts w:ascii="Times New Roman" w:hAnsi="Times New Roman" w:cs="Times New Roman"/>
                <w:position w:val="2"/>
                <w:sz w:val="18"/>
                <w:szCs w:val="18"/>
                <w:vertAlign w:val="subscript"/>
              </w:rPr>
              <w:t>2</w:t>
            </w:r>
            <w:r>
              <w:rPr>
                <w:rFonts w:ascii="Times New Roman" w:hAnsi="Times New Roman" w:cs="Times New Roman"/>
                <w:sz w:val="18"/>
                <w:szCs w:val="18"/>
              </w:rPr>
              <w:t>CF</w:t>
            </w:r>
            <w:r>
              <w:rPr>
                <w:rFonts w:ascii="Times New Roman" w:hAnsi="Times New Roman" w:cs="Times New Roman"/>
                <w:position w:val="2"/>
                <w:sz w:val="18"/>
                <w:szCs w:val="18"/>
                <w:vertAlign w:val="subscript"/>
              </w:rPr>
              <w:t>2</w:t>
            </w:r>
            <w:r>
              <w:rPr>
                <w:rFonts w:ascii="Times New Roman" w:hAnsi="Times New Roman" w:cs="Times New Roman"/>
                <w:sz w:val="18"/>
                <w:szCs w:val="18"/>
              </w:rPr>
              <w:t>-）</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4"/>
                <w:sz w:val="18"/>
                <w:szCs w:val="18"/>
              </w:rPr>
              <w:t>10200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PFC-31-10</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n-C</w:t>
            </w:r>
            <w:r>
              <w:rPr>
                <w:rFonts w:ascii="Times New Roman" w:hAnsi="Times New Roman" w:cs="Times New Roman"/>
                <w:position w:val="2"/>
                <w:sz w:val="18"/>
                <w:szCs w:val="18"/>
                <w:vertAlign w:val="subscript"/>
              </w:rPr>
              <w:t>4</w:t>
            </w:r>
            <w:r>
              <w:rPr>
                <w:rFonts w:ascii="Times New Roman" w:hAnsi="Times New Roman" w:cs="Times New Roman"/>
                <w:sz w:val="18"/>
                <w:szCs w:val="18"/>
              </w:rPr>
              <w:t>F</w:t>
            </w:r>
            <w:r>
              <w:rPr>
                <w:rFonts w:ascii="Times New Roman" w:hAnsi="Times New Roman" w:cs="Times New Roman"/>
                <w:position w:val="2"/>
                <w:sz w:val="18"/>
                <w:szCs w:val="18"/>
                <w:vertAlign w:val="subscript"/>
              </w:rPr>
              <w:t>10</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4"/>
                <w:sz w:val="18"/>
                <w:szCs w:val="18"/>
              </w:rPr>
              <w:t>10000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Octafluorocyclopentene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position w:val="1"/>
                <w:sz w:val="18"/>
                <w:szCs w:val="18"/>
              </w:rPr>
              <w:t>cyc</w:t>
            </w:r>
            <w:r>
              <w:rPr>
                <w:rFonts w:ascii="Times New Roman" w:hAnsi="Times New Roman" w:cs="Times New Roman"/>
                <w:position w:val="3"/>
                <w:sz w:val="18"/>
                <w:szCs w:val="18"/>
              </w:rPr>
              <w:t>（-CF=CFCF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CF</w:t>
            </w:r>
            <w:r>
              <w:rPr>
                <w:rFonts w:ascii="Times New Roman" w:hAnsi="Times New Roman" w:cs="Times New Roman"/>
                <w:position w:val="2"/>
                <w:sz w:val="18"/>
                <w:szCs w:val="18"/>
                <w:vertAlign w:val="subscript"/>
              </w:rPr>
              <w:t>2</w:t>
            </w:r>
            <w:r>
              <w:rPr>
                <w:rFonts w:ascii="Times New Roman" w:hAnsi="Times New Roman" w:cs="Times New Roman"/>
                <w:position w:val="3"/>
                <w:sz w:val="18"/>
                <w:szCs w:val="18"/>
              </w:rPr>
              <w:t>-）</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78.1</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PFC-41-12</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n-C</w:t>
            </w:r>
            <w:r>
              <w:rPr>
                <w:rFonts w:ascii="Times New Roman" w:hAnsi="Times New Roman" w:cs="Times New Roman"/>
                <w:sz w:val="18"/>
                <w:szCs w:val="18"/>
                <w:vertAlign w:val="subscript"/>
              </w:rPr>
              <w:t>5</w:t>
            </w:r>
            <w:r>
              <w:rPr>
                <w:rFonts w:ascii="Times New Roman" w:hAnsi="Times New Roman" w:cs="Times New Roman"/>
                <w:sz w:val="18"/>
                <w:szCs w:val="18"/>
              </w:rPr>
              <w:t>F</w:t>
            </w:r>
            <w:r>
              <w:rPr>
                <w:rFonts w:ascii="Times New Roman" w:hAnsi="Times New Roman" w:cs="Times New Roman"/>
                <w:sz w:val="18"/>
                <w:szCs w:val="18"/>
                <w:vertAlign w:val="subscript"/>
              </w:rPr>
              <w:t>12</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9220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PFC-51-14</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n-C</w:t>
            </w:r>
            <w:r>
              <w:rPr>
                <w:rFonts w:ascii="Times New Roman" w:hAnsi="Times New Roman" w:cs="Times New Roman"/>
                <w:sz w:val="18"/>
                <w:szCs w:val="18"/>
                <w:vertAlign w:val="subscript"/>
              </w:rPr>
              <w:t>6</w:t>
            </w:r>
            <w:r>
              <w:rPr>
                <w:rFonts w:ascii="Times New Roman" w:hAnsi="Times New Roman" w:cs="Times New Roman"/>
                <w:sz w:val="18"/>
                <w:szCs w:val="18"/>
              </w:rPr>
              <w:t>F</w:t>
            </w:r>
            <w:r>
              <w:rPr>
                <w:rFonts w:ascii="Times New Roman" w:hAnsi="Times New Roman" w:cs="Times New Roman"/>
                <w:sz w:val="18"/>
                <w:szCs w:val="18"/>
                <w:vertAlign w:val="subscript"/>
              </w:rPr>
              <w:t>14</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8620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PFC-61-16</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n-C</w:t>
            </w:r>
            <w:r>
              <w:rPr>
                <w:rFonts w:ascii="Times New Roman" w:hAnsi="Times New Roman" w:cs="Times New Roman"/>
                <w:sz w:val="18"/>
                <w:szCs w:val="18"/>
                <w:vertAlign w:val="subscript"/>
              </w:rPr>
              <w:t>7</w:t>
            </w:r>
            <w:r>
              <w:rPr>
                <w:rFonts w:ascii="Times New Roman" w:hAnsi="Times New Roman" w:cs="Times New Roman"/>
                <w:sz w:val="18"/>
                <w:szCs w:val="18"/>
              </w:rPr>
              <w:t>F</w:t>
            </w:r>
            <w:r>
              <w:rPr>
                <w:rFonts w:ascii="Times New Roman" w:hAnsi="Times New Roman" w:cs="Times New Roman"/>
                <w:sz w:val="18"/>
                <w:szCs w:val="18"/>
                <w:vertAlign w:val="subscript"/>
              </w:rPr>
              <w:t>16</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8410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PFC-71-18</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n-C</w:t>
            </w:r>
            <w:r>
              <w:rPr>
                <w:rFonts w:ascii="Times New Roman" w:hAnsi="Times New Roman" w:cs="Times New Roman"/>
                <w:sz w:val="18"/>
                <w:szCs w:val="18"/>
                <w:vertAlign w:val="subscript"/>
              </w:rPr>
              <w:t>8</w:t>
            </w:r>
            <w:r>
              <w:rPr>
                <w:rFonts w:ascii="Times New Roman" w:hAnsi="Times New Roman" w:cs="Times New Roman"/>
                <w:sz w:val="18"/>
                <w:szCs w:val="18"/>
              </w:rPr>
              <w:t>F</w:t>
            </w:r>
            <w:r>
              <w:rPr>
                <w:rFonts w:ascii="Times New Roman" w:hAnsi="Times New Roman" w:cs="Times New Roman"/>
                <w:sz w:val="18"/>
                <w:szCs w:val="18"/>
                <w:vertAlign w:val="subscript"/>
              </w:rPr>
              <w:t>18</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3"/>
                <w:sz w:val="18"/>
                <w:szCs w:val="18"/>
              </w:rPr>
              <w:t>8260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PFC-91-18</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C</w:t>
            </w:r>
            <w:r>
              <w:rPr>
                <w:rFonts w:ascii="Times New Roman" w:hAnsi="Times New Roman" w:cs="Times New Roman"/>
                <w:sz w:val="18"/>
                <w:szCs w:val="18"/>
                <w:vertAlign w:val="subscript"/>
              </w:rPr>
              <w:t>10</w:t>
            </w:r>
            <w:r>
              <w:rPr>
                <w:rFonts w:ascii="Times New Roman" w:hAnsi="Times New Roman" w:cs="Times New Roman"/>
                <w:sz w:val="18"/>
                <w:szCs w:val="18"/>
              </w:rPr>
              <w:t>F</w:t>
            </w:r>
            <w:r>
              <w:rPr>
                <w:rFonts w:ascii="Times New Roman" w:hAnsi="Times New Roman" w:cs="Times New Roman"/>
                <w:sz w:val="18"/>
                <w:szCs w:val="18"/>
                <w:vertAlign w:val="subscript"/>
              </w:rPr>
              <w:t>18</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7480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ind w:left="91" w:hanging="91"/>
              <w:jc w:val="center"/>
              <w:rPr>
                <w:rFonts w:ascii="Times New Roman" w:hAnsi="Times New Roman" w:cs="Times New Roman"/>
                <w:sz w:val="18"/>
                <w:szCs w:val="18"/>
              </w:rPr>
            </w:pPr>
            <w:r>
              <w:rPr>
                <w:rFonts w:ascii="Times New Roman" w:hAnsi="Times New Roman" w:cs="Times New Roman"/>
                <w:spacing w:val="-1"/>
                <w:sz w:val="18"/>
                <w:szCs w:val="18"/>
              </w:rPr>
              <w:t>1,1,2,2,3,3,4,4,4a,5,5,6,6</w:t>
            </w:r>
            <w:r>
              <w:rPr>
                <w:rFonts w:ascii="Times New Roman" w:hAnsi="Times New Roman" w:cs="Times New Roman"/>
                <w:spacing w:val="-2"/>
                <w:sz w:val="18"/>
                <w:szCs w:val="18"/>
              </w:rPr>
              <w:t>,7,7,8,8,</w:t>
            </w:r>
            <w:r>
              <w:rPr>
                <w:rFonts w:ascii="Times New Roman" w:hAnsi="Times New Roman" w:cs="Times New Roman"/>
                <w:spacing w:val="-1"/>
                <w:sz w:val="18"/>
                <w:szCs w:val="18"/>
              </w:rPr>
              <w:t>8a-octadecafluoronaphthalene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Z-C</w:t>
            </w:r>
            <w:r>
              <w:rPr>
                <w:rFonts w:ascii="Times New Roman" w:hAnsi="Times New Roman" w:cs="Times New Roman"/>
                <w:spacing w:val="1"/>
                <w:sz w:val="18"/>
                <w:szCs w:val="18"/>
                <w:vertAlign w:val="subscript"/>
              </w:rPr>
              <w:t>10</w:t>
            </w:r>
            <w:r>
              <w:rPr>
                <w:rFonts w:ascii="Times New Roman" w:hAnsi="Times New Roman" w:cs="Times New Roman"/>
                <w:spacing w:val="1"/>
                <w:sz w:val="18"/>
                <w:szCs w:val="18"/>
              </w:rPr>
              <w:t>F</w:t>
            </w:r>
            <w:r>
              <w:rPr>
                <w:rFonts w:ascii="Times New Roman" w:hAnsi="Times New Roman" w:cs="Times New Roman"/>
                <w:spacing w:val="1"/>
                <w:sz w:val="18"/>
                <w:szCs w:val="18"/>
                <w:vertAlign w:val="subscript"/>
              </w:rPr>
              <w:t>18</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7800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ind w:left="91" w:hanging="91"/>
              <w:jc w:val="center"/>
              <w:rPr>
                <w:rFonts w:ascii="Times New Roman" w:hAnsi="Times New Roman" w:cs="Times New Roman"/>
                <w:sz w:val="18"/>
                <w:szCs w:val="18"/>
              </w:rPr>
            </w:pPr>
            <w:r>
              <w:rPr>
                <w:rFonts w:ascii="Times New Roman" w:hAnsi="Times New Roman" w:cs="Times New Roman"/>
                <w:spacing w:val="-1"/>
                <w:sz w:val="18"/>
                <w:szCs w:val="18"/>
              </w:rPr>
              <w:t>1,1,2,2,3,3,4,4,4a,5,5,6,6</w:t>
            </w:r>
            <w:r>
              <w:rPr>
                <w:rFonts w:ascii="Times New Roman" w:hAnsi="Times New Roman" w:cs="Times New Roman"/>
                <w:spacing w:val="-2"/>
                <w:sz w:val="18"/>
                <w:szCs w:val="18"/>
              </w:rPr>
              <w:t>,7,7,8,8,</w:t>
            </w:r>
            <w:r>
              <w:rPr>
                <w:rFonts w:ascii="Times New Roman" w:hAnsi="Times New Roman" w:cs="Times New Roman"/>
                <w:spacing w:val="-1"/>
                <w:sz w:val="18"/>
                <w:szCs w:val="18"/>
              </w:rPr>
              <w:t>8a-octadecafluoronaphthalene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z w:val="18"/>
                <w:szCs w:val="18"/>
              </w:rPr>
              <w:t>E-C</w:t>
            </w:r>
            <w:r>
              <w:rPr>
                <w:rFonts w:ascii="Times New Roman" w:hAnsi="Times New Roman" w:cs="Times New Roman"/>
                <w:sz w:val="18"/>
                <w:szCs w:val="18"/>
                <w:vertAlign w:val="subscript"/>
              </w:rPr>
              <w:t>10</w:t>
            </w:r>
            <w:r>
              <w:rPr>
                <w:rFonts w:ascii="Times New Roman" w:hAnsi="Times New Roman" w:cs="Times New Roman"/>
                <w:sz w:val="18"/>
                <w:szCs w:val="18"/>
              </w:rPr>
              <w:t>F</w:t>
            </w:r>
            <w:r>
              <w:rPr>
                <w:rFonts w:ascii="Times New Roman" w:hAnsi="Times New Roman" w:cs="Times New Roman"/>
                <w:sz w:val="18"/>
                <w:szCs w:val="18"/>
                <w:vertAlign w:val="subscript"/>
              </w:rPr>
              <w:t>18</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7120</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PFC-1114</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2</w:t>
            </w: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2</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0.004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PFC-1216</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3</w:t>
            </w:r>
            <w:r>
              <w:rPr>
                <w:rFonts w:ascii="Times New Roman" w:hAnsi="Times New Roman" w:cs="Times New Roman"/>
                <w:spacing w:val="-1"/>
                <w:position w:val="2"/>
                <w:sz w:val="18"/>
                <w:szCs w:val="18"/>
              </w:rPr>
              <w:t>CF=CF</w:t>
            </w:r>
            <w:r>
              <w:rPr>
                <w:rFonts w:ascii="Times New Roman" w:hAnsi="Times New Roman" w:cs="Times New Roman"/>
                <w:spacing w:val="-1"/>
                <w:position w:val="1"/>
                <w:sz w:val="18"/>
                <w:szCs w:val="18"/>
                <w:vertAlign w:val="subscript"/>
              </w:rPr>
              <w:t>2</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2"/>
                <w:sz w:val="18"/>
                <w:szCs w:val="18"/>
              </w:rPr>
              <w:t>0.09</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1,1,2,3,4,4-hexaflu</w:t>
            </w:r>
            <w:r>
              <w:rPr>
                <w:rFonts w:ascii="Times New Roman" w:hAnsi="Times New Roman" w:cs="Times New Roman"/>
                <w:spacing w:val="-2"/>
                <w:sz w:val="18"/>
                <w:szCs w:val="18"/>
              </w:rPr>
              <w:t>orobuta-1,3-diene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2</w:t>
            </w:r>
            <w:r>
              <w:rPr>
                <w:rFonts w:ascii="Times New Roman" w:hAnsi="Times New Roman" w:cs="Times New Roman"/>
                <w:spacing w:val="-1"/>
                <w:position w:val="2"/>
                <w:sz w:val="18"/>
                <w:szCs w:val="18"/>
              </w:rPr>
              <w:t>=CFCF=CF</w:t>
            </w:r>
            <w:r>
              <w:rPr>
                <w:rFonts w:ascii="Times New Roman" w:hAnsi="Times New Roman" w:cs="Times New Roman"/>
                <w:spacing w:val="-1"/>
                <w:position w:val="1"/>
                <w:sz w:val="18"/>
                <w:szCs w:val="18"/>
                <w:vertAlign w:val="subscript"/>
              </w:rPr>
              <w:t>2</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0.004</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Octafluoro-1-butene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position w:val="2"/>
                <w:sz w:val="18"/>
                <w:szCs w:val="18"/>
              </w:rPr>
              <w:t>CF</w:t>
            </w:r>
            <w:r>
              <w:rPr>
                <w:rFonts w:ascii="Times New Roman" w:hAnsi="Times New Roman" w:cs="Times New Roman"/>
                <w:position w:val="1"/>
                <w:sz w:val="18"/>
                <w:szCs w:val="18"/>
                <w:vertAlign w:val="subscript"/>
              </w:rPr>
              <w:t>3</w:t>
            </w:r>
            <w:r>
              <w:rPr>
                <w:rFonts w:ascii="Times New Roman" w:hAnsi="Times New Roman" w:cs="Times New Roman"/>
                <w:position w:val="2"/>
                <w:sz w:val="18"/>
                <w:szCs w:val="18"/>
              </w:rPr>
              <w:t>CF</w:t>
            </w:r>
            <w:r>
              <w:rPr>
                <w:rFonts w:ascii="Times New Roman" w:hAnsi="Times New Roman" w:cs="Times New Roman"/>
                <w:position w:val="1"/>
                <w:sz w:val="18"/>
                <w:szCs w:val="18"/>
                <w:vertAlign w:val="subscript"/>
              </w:rPr>
              <w:t>2</w:t>
            </w:r>
            <w:r>
              <w:rPr>
                <w:rFonts w:ascii="Times New Roman" w:hAnsi="Times New Roman" w:cs="Times New Roman"/>
                <w:position w:val="2"/>
                <w:sz w:val="18"/>
                <w:szCs w:val="18"/>
              </w:rPr>
              <w:t>CF=CF</w:t>
            </w:r>
            <w:r>
              <w:rPr>
                <w:rFonts w:ascii="Times New Roman" w:hAnsi="Times New Roman" w:cs="Times New Roman"/>
                <w:position w:val="1"/>
                <w:sz w:val="18"/>
                <w:szCs w:val="18"/>
                <w:vertAlign w:val="subscript"/>
              </w:rPr>
              <w:t>2</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0.102</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Octafluoro-2-buene</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position w:val="2"/>
                <w:sz w:val="18"/>
                <w:szCs w:val="18"/>
              </w:rPr>
              <w:t>CF</w:t>
            </w:r>
            <w:r>
              <w:rPr>
                <w:rFonts w:ascii="Times New Roman" w:hAnsi="Times New Roman" w:cs="Times New Roman"/>
                <w:spacing w:val="-1"/>
                <w:position w:val="1"/>
                <w:sz w:val="18"/>
                <w:szCs w:val="18"/>
                <w:vertAlign w:val="subscript"/>
              </w:rPr>
              <w:t>3</w:t>
            </w:r>
            <w:r>
              <w:rPr>
                <w:rFonts w:ascii="Times New Roman" w:hAnsi="Times New Roman" w:cs="Times New Roman"/>
                <w:spacing w:val="-1"/>
                <w:position w:val="2"/>
                <w:sz w:val="18"/>
                <w:szCs w:val="18"/>
              </w:rPr>
              <w:t>CF=CFCF</w:t>
            </w:r>
            <w:r>
              <w:rPr>
                <w:rFonts w:ascii="Times New Roman" w:hAnsi="Times New Roman" w:cs="Times New Roman"/>
                <w:spacing w:val="-1"/>
                <w:position w:val="1"/>
                <w:sz w:val="18"/>
                <w:szCs w:val="18"/>
                <w:vertAlign w:val="subscript"/>
              </w:rPr>
              <w:t>3</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5"/>
                <w:sz w:val="18"/>
                <w:szCs w:val="18"/>
              </w:rPr>
              <w:t>1.97</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949" w:type="dxa"/>
            <w:vAlign w:val="center"/>
          </w:tcPr>
          <w:p>
            <w:pPr>
              <w:pStyle w:val="28"/>
              <w:spacing w:line="0" w:lineRule="atLeast"/>
              <w:jc w:val="center"/>
              <w:rPr>
                <w:rFonts w:ascii="Times New Roman" w:hAnsi="Times New Roman" w:cs="Times New Roman" w:eastAsiaTheme="minorEastAsia"/>
                <w:sz w:val="18"/>
                <w:szCs w:val="18"/>
              </w:rPr>
            </w:pPr>
            <w:r>
              <w:rPr>
                <w:rFonts w:ascii="Times New Roman" w:hAnsi="Times New Roman" w:cs="Times New Roman" w:eastAsiaTheme="minorEastAsia"/>
                <w:spacing w:val="-3"/>
                <w:sz w:val="18"/>
                <w:szCs w:val="18"/>
              </w:rPr>
              <w:t>六氟化硫</w:t>
            </w:r>
          </w:p>
        </w:tc>
        <w:tc>
          <w:tcPr>
            <w:tcW w:w="2827"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4"/>
                <w:sz w:val="18"/>
                <w:szCs w:val="18"/>
              </w:rPr>
              <w:t>SF</w:t>
            </w:r>
            <w:r>
              <w:rPr>
                <w:rFonts w:ascii="Times New Roman" w:hAnsi="Times New Roman" w:cs="Times New Roman"/>
                <w:spacing w:val="-4"/>
                <w:position w:val="-1"/>
                <w:sz w:val="18"/>
                <w:szCs w:val="18"/>
                <w:vertAlign w:val="subscript"/>
              </w:rPr>
              <w:t>6</w:t>
            </w:r>
          </w:p>
        </w:tc>
        <w:tc>
          <w:tcPr>
            <w:tcW w:w="2602" w:type="dxa"/>
            <w:vAlign w:val="center"/>
          </w:tcPr>
          <w:p>
            <w:pPr>
              <w:spacing w:line="0" w:lineRule="atLeast"/>
              <w:jc w:val="center"/>
              <w:rPr>
                <w:rFonts w:ascii="Times New Roman" w:hAnsi="Times New Roman" w:cs="Times New Roman"/>
                <w:sz w:val="18"/>
                <w:szCs w:val="18"/>
              </w:rPr>
            </w:pPr>
            <w:r>
              <w:rPr>
                <w:rFonts w:ascii="Times New Roman" w:hAnsi="Times New Roman" w:cs="Times New Roman"/>
                <w:spacing w:val="-1"/>
                <w:sz w:val="18"/>
                <w:szCs w:val="18"/>
              </w:rPr>
              <w:t>25200</w:t>
            </w:r>
          </w:p>
        </w:tc>
      </w:tr>
    </w:tbl>
    <w:p>
      <w:pPr>
        <w:spacing w:before="240" w:line="322" w:lineRule="auto"/>
        <w:ind w:right="51" w:firstLine="363"/>
        <w:rPr>
          <w:rFonts w:ascii="仿宋" w:hAnsi="仿宋" w:eastAsia="仿宋" w:cs="Times New Roman"/>
          <w:sz w:val="18"/>
          <w:szCs w:val="18"/>
        </w:rPr>
      </w:pPr>
      <w:r>
        <w:rPr>
          <w:rFonts w:ascii="仿宋" w:hAnsi="仿宋" w:eastAsia="仿宋" w:cs="Times New Roman"/>
          <w:spacing w:val="-1"/>
          <w:sz w:val="18"/>
          <w:szCs w:val="18"/>
        </w:rPr>
        <w:t>注：部分温室气体的全球变暖潜势来源于气候变化专门委员会（IPCC）《气候变化报告2021：自然科学基础第一工作组对政府间气候变化专门委员会第六次评估报告的贡献》。</w:t>
      </w:r>
    </w:p>
    <w:p>
      <w:pPr>
        <w:rPr>
          <w:rFonts w:ascii="宋体" w:hAnsi="宋体" w:eastAsia="宋体" w:cs="宋体"/>
          <w:spacing w:val="-4"/>
          <w:sz w:val="24"/>
          <w:szCs w:val="24"/>
        </w:rPr>
      </w:pPr>
      <w:r>
        <w:rPr>
          <w:rFonts w:hint="eastAsia" w:ascii="宋体" w:hAnsi="宋体" w:eastAsia="宋体" w:cs="宋体"/>
          <w:spacing w:val="-4"/>
          <w:sz w:val="24"/>
          <w:szCs w:val="24"/>
        </w:rPr>
        <w:br w:type="page"/>
      </w:r>
    </w:p>
    <w:p>
      <w:pPr>
        <w:widowControl/>
        <w:jc w:val="left"/>
        <w:rPr>
          <w:rFonts w:ascii="宋体" w:hAnsi="宋体" w:eastAsia="黑体" w:cs="宋体"/>
          <w:spacing w:val="-4"/>
          <w:sz w:val="24"/>
          <w:szCs w:val="24"/>
        </w:rPr>
      </w:pPr>
      <w:bookmarkStart w:id="107" w:name="_Toc32439"/>
      <w:r>
        <w:rPr>
          <w:rFonts w:hint="eastAsia" w:ascii="黑体" w:hAnsi="黑体" w:eastAsia="黑体" w:cs="Times New Roman"/>
          <w:bCs/>
          <w:kern w:val="44"/>
          <w:sz w:val="28"/>
          <w:szCs w:val="28"/>
        </w:rPr>
        <w:t>附录E</w:t>
      </w:r>
    </w:p>
    <w:p>
      <w:pPr>
        <w:pStyle w:val="3"/>
        <w:spacing w:line="221" w:lineRule="auto"/>
        <w:jc w:val="center"/>
        <w:outlineLvl w:val="0"/>
        <w:rPr>
          <w:rFonts w:ascii="黑体" w:hAnsi="黑体" w:eastAsia="黑体" w:cs="黑体"/>
          <w:bCs/>
          <w:spacing w:val="-1"/>
          <w:sz w:val="28"/>
          <w:szCs w:val="28"/>
          <w:lang w:eastAsia="zh-CN"/>
        </w:rPr>
      </w:pPr>
      <w:r>
        <w:rPr>
          <w:rFonts w:hint="eastAsia" w:ascii="黑体" w:hAnsi="黑体" w:eastAsia="黑体" w:cs="黑体"/>
          <w:bCs/>
          <w:spacing w:val="-1"/>
          <w:sz w:val="28"/>
          <w:szCs w:val="28"/>
          <w:lang w:eastAsia="zh-CN"/>
        </w:rPr>
        <w:t>附录 E</w:t>
      </w:r>
      <w:bookmarkEnd w:id="107"/>
    </w:p>
    <w:p>
      <w:pPr>
        <w:pStyle w:val="3"/>
        <w:spacing w:line="221" w:lineRule="auto"/>
        <w:jc w:val="center"/>
        <w:outlineLvl w:val="0"/>
        <w:rPr>
          <w:rFonts w:ascii="黑体" w:hAnsi="黑体" w:eastAsia="黑体" w:cs="黑体"/>
          <w:bCs/>
          <w:spacing w:val="-1"/>
          <w:sz w:val="28"/>
          <w:szCs w:val="28"/>
          <w:lang w:eastAsia="zh-CN"/>
        </w:rPr>
      </w:pPr>
      <w:bookmarkStart w:id="108" w:name="_Toc28079"/>
      <w:r>
        <w:rPr>
          <w:rFonts w:hint="eastAsia" w:ascii="黑体" w:hAnsi="黑体" w:eastAsia="黑体" w:cs="黑体"/>
          <w:bCs/>
          <w:spacing w:val="-1"/>
          <w:sz w:val="28"/>
          <w:szCs w:val="28"/>
          <w:lang w:eastAsia="zh-CN"/>
        </w:rPr>
        <w:t>（</w:t>
      </w:r>
      <w:r>
        <w:rPr>
          <w:rFonts w:ascii="黑体" w:hAnsi="黑体" w:eastAsia="黑体" w:cs="黑体"/>
          <w:bCs/>
          <w:spacing w:val="-1"/>
          <w:sz w:val="28"/>
          <w:szCs w:val="28"/>
          <w:lang w:eastAsia="zh-CN"/>
        </w:rPr>
        <w:t>资料</w:t>
      </w:r>
      <w:r>
        <w:rPr>
          <w:rFonts w:hint="eastAsia" w:ascii="黑体" w:hAnsi="黑体" w:eastAsia="黑体" w:cs="黑体"/>
          <w:bCs/>
          <w:spacing w:val="-1"/>
          <w:sz w:val="28"/>
          <w:szCs w:val="28"/>
          <w:lang w:eastAsia="zh-CN"/>
        </w:rPr>
        <w:t>性）</w:t>
      </w:r>
      <w:bookmarkEnd w:id="108"/>
    </w:p>
    <w:p>
      <w:pPr>
        <w:pStyle w:val="3"/>
        <w:spacing w:line="221" w:lineRule="auto"/>
        <w:jc w:val="center"/>
        <w:outlineLvl w:val="0"/>
        <w:rPr>
          <w:rFonts w:ascii="黑体" w:hAnsi="黑体" w:eastAsia="黑体" w:cs="黑体"/>
          <w:bCs/>
          <w:spacing w:val="-1"/>
          <w:sz w:val="28"/>
          <w:szCs w:val="28"/>
          <w:lang w:eastAsia="zh-CN"/>
        </w:rPr>
      </w:pPr>
      <w:bookmarkStart w:id="109" w:name="bookmark17"/>
      <w:bookmarkEnd w:id="109"/>
      <w:bookmarkStart w:id="110" w:name="_Toc32684"/>
      <w:r>
        <w:rPr>
          <w:rFonts w:hint="eastAsia" w:ascii="黑体" w:hAnsi="黑体" w:eastAsia="黑体" w:cs="黑体"/>
          <w:bCs/>
          <w:spacing w:val="-1"/>
          <w:sz w:val="28"/>
          <w:szCs w:val="28"/>
          <w:lang w:eastAsia="zh-CN"/>
        </w:rPr>
        <w:t>数据质量等级</w:t>
      </w:r>
      <w:bookmarkEnd w:id="110"/>
    </w:p>
    <w:p>
      <w:pPr>
        <w:spacing w:before="142" w:line="221" w:lineRule="auto"/>
        <w:ind w:left="467"/>
        <w:rPr>
          <w:rFonts w:ascii="宋体" w:hAnsi="宋体" w:eastAsia="宋体" w:cs="宋体"/>
          <w:szCs w:val="21"/>
        </w:rPr>
      </w:pPr>
      <w:r>
        <w:rPr>
          <w:rFonts w:ascii="宋体" w:hAnsi="宋体" w:eastAsia="宋体" w:cs="宋体"/>
          <w:spacing w:val="8"/>
          <w:szCs w:val="21"/>
        </w:rPr>
        <w:t>数据质量等级（</w:t>
      </w:r>
      <w:r>
        <w:rPr>
          <w:rFonts w:ascii="Times New Roman" w:hAnsi="Times New Roman" w:eastAsia="Times New Roman" w:cs="Times New Roman"/>
          <w:szCs w:val="21"/>
        </w:rPr>
        <w:t>DQR</w:t>
      </w:r>
      <w:r>
        <w:rPr>
          <w:rFonts w:ascii="宋体" w:hAnsi="宋体" w:eastAsia="宋体" w:cs="宋体"/>
          <w:spacing w:val="8"/>
          <w:szCs w:val="21"/>
        </w:rPr>
        <w:t>）按照公式（</w:t>
      </w:r>
      <w:r>
        <w:rPr>
          <w:rFonts w:ascii="Times New Roman" w:hAnsi="Times New Roman" w:eastAsia="Times New Roman" w:cs="Times New Roman"/>
          <w:spacing w:val="8"/>
          <w:szCs w:val="21"/>
        </w:rPr>
        <w:t>E.</w:t>
      </w:r>
      <w:r>
        <w:rPr>
          <w:rFonts w:ascii="Times New Roman" w:hAnsi="Times New Roman" w:eastAsia="Times New Roman" w:cs="Times New Roman"/>
          <w:spacing w:val="-24"/>
          <w:szCs w:val="21"/>
        </w:rPr>
        <w:t xml:space="preserve"> </w:t>
      </w:r>
      <w:r>
        <w:rPr>
          <w:rFonts w:ascii="Times New Roman" w:hAnsi="Times New Roman" w:eastAsia="Times New Roman" w:cs="Times New Roman"/>
          <w:spacing w:val="8"/>
          <w:szCs w:val="21"/>
        </w:rPr>
        <w:t>1</w:t>
      </w:r>
      <w:r>
        <w:rPr>
          <w:rFonts w:ascii="宋体" w:hAnsi="宋体" w:eastAsia="宋体" w:cs="宋体"/>
          <w:spacing w:val="8"/>
          <w:szCs w:val="21"/>
        </w:rPr>
        <w:t>）进行计算：</w:t>
      </w:r>
    </w:p>
    <w:p>
      <w:pPr>
        <w:spacing w:line="360" w:lineRule="auto"/>
        <w:ind w:right="51"/>
        <w:jc w:val="right"/>
        <w:rPr>
          <w:rFonts w:ascii="Times New Roman" w:hAnsi="Times New Roman" w:eastAsia="Cambria Math" w:cs="Times New Roman"/>
          <w:spacing w:val="8"/>
          <w:position w:val="-4"/>
          <w:szCs w:val="21"/>
        </w:rPr>
      </w:pPr>
      <m:oMathPara>
        <m:oMath>
          <m:r>
            <m:rPr>
              <m:nor/>
            </m:rPr>
            <w:rPr>
              <w:rFonts w:ascii="Cambria Math" w:hAnsi="Cambria Math" w:eastAsia="Cambria Math" w:cs="Times New Roman"/>
              <w:i/>
              <w:spacing w:val="8"/>
              <w:position w:val="-4"/>
              <w:szCs w:val="21"/>
            </w:rPr>
            <m:t>DQR</m:t>
          </m:r>
          <m:r>
            <m:rPr>
              <m:nor/>
              <m:sty m:val="p"/>
            </m:rPr>
            <w:rPr>
              <w:rFonts w:ascii="Cambria Math" w:hAnsi="Cambria Math" w:eastAsia="Cambria Math" w:cs="Cambria Math"/>
              <w:spacing w:val="8"/>
              <w:position w:val="-4"/>
              <w:szCs w:val="21"/>
            </w:rPr>
            <m:t>=</m:t>
          </m:r>
          <m:f>
            <m:fPr>
              <m:ctrlPr>
                <w:rPr>
                  <w:rFonts w:ascii="Cambria Math" w:hAnsi="Cambria Math" w:eastAsia="Cambria Math" w:cs="Times New Roman"/>
                  <w:spacing w:val="8"/>
                  <w:position w:val="-4"/>
                  <w:szCs w:val="21"/>
                </w:rPr>
              </m:ctrlPr>
            </m:fPr>
            <m:num>
              <m:r>
                <m:rPr>
                  <m:nor/>
                </m:rPr>
                <w:rPr>
                  <w:rFonts w:ascii="Cambria Math" w:hAnsi="Cambria Math" w:eastAsia="Cambria Math" w:cs="Times New Roman"/>
                  <w:i/>
                  <w:spacing w:val="8"/>
                  <w:position w:val="-4"/>
                  <w:szCs w:val="21"/>
                </w:rPr>
                <m:t>TiR</m:t>
              </m:r>
              <m:r>
                <m:rPr>
                  <m:nor/>
                  <m:sty m:val="p"/>
                </m:rPr>
                <w:rPr>
                  <w:rFonts w:ascii="Cambria Math" w:hAnsi="Cambria Math" w:eastAsia="Cambria Math" w:cs="Times New Roman"/>
                  <w:spacing w:val="8"/>
                  <w:position w:val="-4"/>
                  <w:szCs w:val="21"/>
                </w:rPr>
                <m:t>+</m:t>
              </m:r>
              <m:r>
                <m:rPr>
                  <m:nor/>
                </m:rPr>
                <w:rPr>
                  <w:rFonts w:ascii="Cambria Math" w:hAnsi="Cambria Math" w:eastAsia="Cambria Math" w:cs="Times New Roman"/>
                  <w:i/>
                  <w:spacing w:val="8"/>
                  <w:position w:val="-4"/>
                  <w:szCs w:val="21"/>
                </w:rPr>
                <m:t>TeR</m:t>
              </m:r>
              <m:r>
                <m:rPr>
                  <m:nor/>
                  <m:sty m:val="p"/>
                </m:rPr>
                <w:rPr>
                  <w:rFonts w:ascii="Cambria Math" w:hAnsi="Cambria Math" w:eastAsia="Cambria Math" w:cs="Times New Roman"/>
                  <w:spacing w:val="8"/>
                  <w:position w:val="-4"/>
                  <w:szCs w:val="21"/>
                </w:rPr>
                <m:t>+</m:t>
              </m:r>
              <m:r>
                <m:rPr>
                  <m:nor/>
                </m:rPr>
                <w:rPr>
                  <w:rFonts w:ascii="Cambria Math" w:hAnsi="Cambria Math" w:eastAsia="Cambria Math" w:cs="Times New Roman"/>
                  <w:i/>
                  <w:spacing w:val="8"/>
                  <w:position w:val="-4"/>
                  <w:szCs w:val="21"/>
                </w:rPr>
                <m:t>GeR</m:t>
              </m:r>
              <m:r>
                <m:rPr>
                  <m:nor/>
                  <m:sty m:val="p"/>
                </m:rPr>
                <w:rPr>
                  <w:rFonts w:ascii="Cambria Math" w:hAnsi="Cambria Math" w:eastAsia="Cambria Math" w:cs="Times New Roman"/>
                  <w:spacing w:val="8"/>
                  <w:position w:val="-4"/>
                  <w:szCs w:val="21"/>
                </w:rPr>
                <m:t>+</m:t>
              </m:r>
              <m:r>
                <m:rPr>
                  <m:nor/>
                </m:rPr>
                <w:rPr>
                  <w:rFonts w:ascii="Cambria Math" w:hAnsi="Cambria Math" w:eastAsia="Cambria Math" w:cs="Times New Roman"/>
                  <w:i/>
                  <w:spacing w:val="8"/>
                  <w:position w:val="-4"/>
                  <w:szCs w:val="21"/>
                </w:rPr>
                <m:t>SoR</m:t>
              </m:r>
              <m:ctrlPr>
                <w:rPr>
                  <w:rFonts w:ascii="Cambria Math" w:hAnsi="Cambria Math" w:eastAsia="Cambria Math" w:cs="Times New Roman"/>
                  <w:spacing w:val="8"/>
                  <w:position w:val="-4"/>
                  <w:szCs w:val="21"/>
                </w:rPr>
              </m:ctrlPr>
            </m:num>
            <m:den>
              <m:r>
                <m:rPr>
                  <m:nor/>
                  <m:sty m:val="p"/>
                </m:rPr>
                <w:rPr>
                  <w:rFonts w:ascii="Cambria Math" w:hAnsi="Cambria Math" w:eastAsia="Cambria Math" w:cs="Times New Roman"/>
                  <w:spacing w:val="8"/>
                  <w:position w:val="-4"/>
                  <w:szCs w:val="21"/>
                </w:rPr>
                <m:t>4</m:t>
              </m:r>
              <m:ctrlPr>
                <w:rPr>
                  <w:rFonts w:ascii="Cambria Math" w:hAnsi="Cambria Math" w:eastAsia="Cambria Math" w:cs="Times New Roman"/>
                  <w:spacing w:val="8"/>
                  <w:position w:val="-4"/>
                  <w:szCs w:val="21"/>
                </w:rPr>
              </m:ctrlPr>
            </m:den>
          </m:f>
          <m:r>
            <m:rPr>
              <m:sty m:val="p"/>
            </m:rPr>
            <w:rPr>
              <w:rFonts w:ascii="Cambria Math" w:hAnsi="Cambria Math" w:eastAsia="Cambria Math" w:cs="Times New Roman"/>
              <w:spacing w:val="8"/>
              <w:position w:val="-4"/>
              <w:szCs w:val="21"/>
            </w:rPr>
            <w:br w:type="textWrapping"/>
          </m:r>
        </m:oMath>
      </m:oMathPara>
      <w:r>
        <w:rPr>
          <w:rFonts w:ascii="Times New Roman" w:hAnsi="Times New Roman" w:eastAsia="Cambria Math" w:cs="Times New Roman"/>
          <w:spacing w:val="8"/>
          <w:position w:val="-4"/>
          <w:szCs w:val="21"/>
        </w:rPr>
        <w:t xml:space="preserve">                           </w:t>
      </w:r>
      <w:r>
        <w:rPr>
          <w:rFonts w:hAnsi="Times New Roman" w:eastAsia="Cambria Math" w:cs="Times New Roman"/>
          <w:spacing w:val="8"/>
          <w:position w:val="-4"/>
          <w:szCs w:val="21"/>
        </w:rPr>
        <w:t>（E.1）</w:t>
      </w:r>
    </w:p>
    <w:p>
      <w:pPr>
        <w:spacing w:before="30"/>
        <w:ind w:right="49"/>
        <w:jc w:val="right"/>
        <w:rPr>
          <w:szCs w:val="21"/>
        </w:rPr>
      </w:pPr>
    </w:p>
    <w:p>
      <w:pPr>
        <w:spacing w:before="34" w:line="228" w:lineRule="auto"/>
        <w:ind w:left="470"/>
        <w:rPr>
          <w:rFonts w:ascii="宋体" w:hAnsi="宋体" w:eastAsia="宋体" w:cs="宋体"/>
          <w:szCs w:val="21"/>
        </w:rPr>
      </w:pPr>
      <w:r>
        <w:rPr>
          <w:rFonts w:ascii="宋体" w:hAnsi="宋体" w:eastAsia="宋体" w:cs="宋体"/>
          <w:spacing w:val="1"/>
          <w:szCs w:val="21"/>
        </w:rPr>
        <w:t>式中：</w:t>
      </w:r>
    </w:p>
    <w:p>
      <w:pPr>
        <w:spacing w:before="23" w:line="228" w:lineRule="auto"/>
        <w:ind w:left="472"/>
        <w:rPr>
          <w:rFonts w:ascii="宋体" w:hAnsi="宋体" w:eastAsia="宋体" w:cs="宋体"/>
          <w:szCs w:val="21"/>
        </w:rPr>
      </w:pPr>
      <w:r>
        <w:rPr>
          <w:rFonts w:ascii="Times New Roman" w:hAnsi="Times New Roman" w:eastAsia="Times New Roman" w:cs="Times New Roman"/>
          <w:i/>
          <w:iCs/>
          <w:szCs w:val="21"/>
        </w:rPr>
        <w:t>TiR</w:t>
      </w:r>
      <w:r>
        <w:rPr>
          <w:rFonts w:hint="eastAsia" w:ascii="Times New Roman" w:hAnsi="Times New Roman" w:eastAsia="宋体" w:cs="Times New Roman"/>
          <w:i/>
          <w:iCs/>
          <w:szCs w:val="21"/>
        </w:rPr>
        <w:t xml:space="preserve"> </w:t>
      </w:r>
      <w:r>
        <w:rPr>
          <w:rFonts w:ascii="Times New Roman" w:hAnsi="Times New Roman" w:eastAsia="Times New Roman" w:cs="Times New Roman"/>
          <w:spacing w:val="9"/>
          <w:szCs w:val="21"/>
        </w:rPr>
        <w:t>——</w:t>
      </w:r>
      <w:r>
        <w:rPr>
          <w:rFonts w:ascii="宋体" w:hAnsi="宋体" w:eastAsia="宋体" w:cs="宋体"/>
          <w:spacing w:val="9"/>
          <w:szCs w:val="21"/>
        </w:rPr>
        <w:t>数据在时间代表性维度的分值；</w:t>
      </w:r>
    </w:p>
    <w:p>
      <w:pPr>
        <w:spacing w:before="27" w:line="228" w:lineRule="auto"/>
        <w:ind w:left="464"/>
        <w:rPr>
          <w:rFonts w:ascii="宋体" w:hAnsi="宋体" w:eastAsia="宋体" w:cs="宋体"/>
          <w:szCs w:val="21"/>
        </w:rPr>
      </w:pPr>
      <w:r>
        <w:rPr>
          <w:rFonts w:ascii="Times New Roman" w:hAnsi="Times New Roman" w:eastAsia="Times New Roman" w:cs="Times New Roman"/>
          <w:i/>
          <w:szCs w:val="21"/>
        </w:rPr>
        <w:t>TeR</w:t>
      </w:r>
      <w:r>
        <w:rPr>
          <w:rFonts w:ascii="Times New Roman" w:hAnsi="Times New Roman" w:eastAsia="Times New Roman" w:cs="Times New Roman"/>
          <w:spacing w:val="9"/>
          <w:szCs w:val="21"/>
        </w:rPr>
        <w:t xml:space="preserve"> ——</w:t>
      </w:r>
      <w:r>
        <w:rPr>
          <w:rFonts w:ascii="宋体" w:hAnsi="宋体" w:eastAsia="宋体" w:cs="宋体"/>
          <w:spacing w:val="9"/>
          <w:szCs w:val="21"/>
        </w:rPr>
        <w:t>数据在技术代表性维度的分值；</w:t>
      </w:r>
    </w:p>
    <w:p>
      <w:pPr>
        <w:spacing w:before="24" w:line="228" w:lineRule="auto"/>
        <w:ind w:left="472"/>
        <w:rPr>
          <w:rFonts w:ascii="宋体" w:hAnsi="宋体" w:eastAsia="宋体" w:cs="宋体"/>
          <w:szCs w:val="21"/>
        </w:rPr>
      </w:pPr>
      <w:r>
        <w:rPr>
          <w:rFonts w:ascii="Times New Roman" w:hAnsi="Times New Roman" w:eastAsia="Times New Roman" w:cs="Times New Roman"/>
          <w:i/>
          <w:iCs/>
          <w:szCs w:val="21"/>
        </w:rPr>
        <w:t>GeR</w:t>
      </w:r>
      <w:r>
        <w:rPr>
          <w:rFonts w:ascii="Times New Roman" w:hAnsi="Times New Roman" w:eastAsia="Times New Roman" w:cs="Times New Roman"/>
          <w:i/>
          <w:iCs/>
          <w:spacing w:val="8"/>
          <w:szCs w:val="21"/>
        </w:rPr>
        <w:t xml:space="preserve"> </w:t>
      </w:r>
      <w:r>
        <w:rPr>
          <w:rFonts w:ascii="Times New Roman" w:hAnsi="Times New Roman" w:eastAsia="Times New Roman" w:cs="Times New Roman"/>
          <w:spacing w:val="8"/>
          <w:szCs w:val="21"/>
        </w:rPr>
        <w:t>——</w:t>
      </w:r>
      <w:r>
        <w:rPr>
          <w:rFonts w:ascii="宋体" w:hAnsi="宋体" w:eastAsia="宋体" w:cs="宋体"/>
          <w:spacing w:val="8"/>
          <w:szCs w:val="21"/>
        </w:rPr>
        <w:t>数据在地理代表性维度的分值；</w:t>
      </w:r>
    </w:p>
    <w:p>
      <w:pPr>
        <w:spacing w:before="24" w:line="228" w:lineRule="auto"/>
        <w:ind w:left="471"/>
        <w:rPr>
          <w:rFonts w:ascii="宋体" w:hAnsi="宋体" w:eastAsia="宋体" w:cs="宋体"/>
          <w:szCs w:val="21"/>
        </w:rPr>
      </w:pPr>
      <w:r>
        <w:rPr>
          <w:rFonts w:ascii="Times New Roman" w:hAnsi="Times New Roman" w:eastAsia="Times New Roman" w:cs="Times New Roman"/>
          <w:i/>
          <w:szCs w:val="21"/>
        </w:rPr>
        <w:t>SoR</w:t>
      </w:r>
      <w:r>
        <w:rPr>
          <w:rFonts w:ascii="Times New Roman" w:hAnsi="Times New Roman" w:eastAsia="Times New Roman" w:cs="Times New Roman"/>
          <w:spacing w:val="9"/>
          <w:szCs w:val="21"/>
        </w:rPr>
        <w:t xml:space="preserve"> ——</w:t>
      </w:r>
      <w:r>
        <w:rPr>
          <w:rFonts w:ascii="宋体" w:hAnsi="宋体" w:eastAsia="宋体" w:cs="宋体"/>
          <w:spacing w:val="9"/>
          <w:szCs w:val="21"/>
        </w:rPr>
        <w:t>数据在数据来源代表性维度的分值。</w:t>
      </w:r>
    </w:p>
    <w:p>
      <w:pPr>
        <w:pStyle w:val="3"/>
        <w:spacing w:before="148" w:line="229" w:lineRule="auto"/>
        <w:ind w:left="3387"/>
        <w:rPr>
          <w:rFonts w:ascii="黑体" w:hAnsi="黑体" w:eastAsia="黑体"/>
          <w:lang w:eastAsia="zh-CN"/>
        </w:rPr>
      </w:pPr>
      <w:r>
        <w:rPr>
          <w:rFonts w:ascii="黑体" w:hAnsi="黑体" w:eastAsia="黑体"/>
          <w:spacing w:val="6"/>
          <w:lang w:eastAsia="zh-CN"/>
        </w:rPr>
        <w:t>表</w:t>
      </w:r>
      <w:r>
        <w:rPr>
          <w:rFonts w:ascii="黑体" w:hAnsi="黑体" w:eastAsia="黑体"/>
          <w:spacing w:val="-25"/>
          <w:lang w:eastAsia="zh-CN"/>
        </w:rPr>
        <w:t xml:space="preserve"> </w:t>
      </w:r>
      <w:r>
        <w:rPr>
          <w:rFonts w:ascii="黑体" w:hAnsi="黑体" w:eastAsia="黑体"/>
          <w:spacing w:val="6"/>
          <w:lang w:eastAsia="zh-CN"/>
        </w:rPr>
        <w:t>E.1 数据质量等级（</w:t>
      </w:r>
      <w:r>
        <w:rPr>
          <w:rFonts w:ascii="黑体" w:hAnsi="黑体" w:eastAsia="黑体"/>
          <w:lang w:eastAsia="zh-CN"/>
        </w:rPr>
        <w:t>DQR</w:t>
      </w:r>
      <w:r>
        <w:rPr>
          <w:rFonts w:ascii="黑体" w:hAnsi="黑体" w:eastAsia="黑体"/>
          <w:spacing w:val="6"/>
          <w:lang w:eastAsia="zh-CN"/>
        </w:rPr>
        <w:t>）</w:t>
      </w:r>
    </w:p>
    <w:tbl>
      <w:tblPr>
        <w:tblStyle w:val="29"/>
        <w:tblpPr w:leftFromText="180" w:rightFromText="180" w:vertAnchor="text" w:horzAnchor="page" w:tblpX="1289" w:tblpY="114"/>
        <w:tblOverlap w:val="never"/>
        <w:tblW w:w="5038" w:type="pct"/>
        <w:tblInd w:w="0" w:type="dxa"/>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Layout w:type="autofit"/>
        <w:tblCellMar>
          <w:top w:w="0" w:type="dxa"/>
          <w:left w:w="0" w:type="dxa"/>
          <w:bottom w:w="0" w:type="dxa"/>
          <w:right w:w="0" w:type="dxa"/>
        </w:tblCellMar>
      </w:tblPr>
      <w:tblGrid>
        <w:gridCol w:w="812"/>
        <w:gridCol w:w="2043"/>
        <w:gridCol w:w="2412"/>
        <w:gridCol w:w="2482"/>
        <w:gridCol w:w="1946"/>
      </w:tblGrid>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419" w:type="pct"/>
            <w:tcBorders>
              <w:bottom w:val="single" w:color="000000" w:sz="6" w:space="0"/>
            </w:tcBorders>
            <w:vAlign w:val="center"/>
          </w:tcPr>
          <w:p>
            <w:pPr>
              <w:pStyle w:val="28"/>
              <w:jc w:val="center"/>
              <w:rPr>
                <w:rFonts w:ascii="Times New Roman" w:hAnsi="Times New Roman" w:cs="Times New Roman"/>
              </w:rPr>
            </w:pPr>
            <w:r>
              <w:rPr>
                <w:rFonts w:ascii="Times New Roman" w:hAnsi="Times New Roman" w:cs="Times New Roman"/>
              </w:rPr>
              <w:t>分数</w:t>
            </w:r>
          </w:p>
        </w:tc>
        <w:tc>
          <w:tcPr>
            <w:tcW w:w="1053" w:type="pct"/>
            <w:tcBorders>
              <w:bottom w:val="single" w:color="000000" w:sz="6" w:space="0"/>
            </w:tcBorders>
            <w:vAlign w:val="center"/>
          </w:tcPr>
          <w:p>
            <w:pPr>
              <w:pStyle w:val="28"/>
              <w:jc w:val="center"/>
              <w:rPr>
                <w:rFonts w:ascii="Times New Roman" w:hAnsi="Times New Roman" w:cs="Times New Roman"/>
                <w:i/>
              </w:rPr>
            </w:pPr>
            <w:r>
              <w:rPr>
                <w:rFonts w:ascii="Times New Roman" w:hAnsi="Times New Roman" w:cs="Times New Roman"/>
                <w:i/>
              </w:rPr>
              <w:t>TiR</w:t>
            </w:r>
          </w:p>
        </w:tc>
        <w:tc>
          <w:tcPr>
            <w:tcW w:w="1243" w:type="pct"/>
            <w:tcBorders>
              <w:bottom w:val="single" w:color="000000" w:sz="6" w:space="0"/>
            </w:tcBorders>
            <w:vAlign w:val="center"/>
          </w:tcPr>
          <w:p>
            <w:pPr>
              <w:pStyle w:val="28"/>
              <w:jc w:val="center"/>
              <w:rPr>
                <w:rFonts w:ascii="Times New Roman" w:hAnsi="Times New Roman" w:cs="Times New Roman"/>
                <w:i/>
              </w:rPr>
            </w:pPr>
            <w:r>
              <w:rPr>
                <w:rFonts w:ascii="Times New Roman" w:hAnsi="Times New Roman" w:cs="Times New Roman"/>
                <w:i/>
              </w:rPr>
              <w:t>TeR</w:t>
            </w:r>
          </w:p>
        </w:tc>
        <w:tc>
          <w:tcPr>
            <w:tcW w:w="1279" w:type="pct"/>
            <w:tcBorders>
              <w:bottom w:val="single" w:color="000000" w:sz="6" w:space="0"/>
            </w:tcBorders>
            <w:vAlign w:val="center"/>
          </w:tcPr>
          <w:p>
            <w:pPr>
              <w:pStyle w:val="28"/>
              <w:jc w:val="center"/>
              <w:rPr>
                <w:rFonts w:ascii="Times New Roman" w:hAnsi="Times New Roman" w:cs="Times New Roman"/>
                <w:i/>
              </w:rPr>
            </w:pPr>
            <w:r>
              <w:rPr>
                <w:rFonts w:ascii="Times New Roman" w:hAnsi="Times New Roman" w:cs="Times New Roman"/>
                <w:i/>
              </w:rPr>
              <w:t>GeR</w:t>
            </w:r>
          </w:p>
        </w:tc>
        <w:tc>
          <w:tcPr>
            <w:tcW w:w="1003" w:type="pct"/>
            <w:tcBorders>
              <w:bottom w:val="single" w:color="000000" w:sz="6" w:space="0"/>
            </w:tcBorders>
            <w:vAlign w:val="center"/>
          </w:tcPr>
          <w:p>
            <w:pPr>
              <w:pStyle w:val="28"/>
              <w:jc w:val="center"/>
              <w:rPr>
                <w:rFonts w:ascii="Times New Roman" w:hAnsi="Times New Roman" w:cs="Times New Roman"/>
                <w:i/>
              </w:rPr>
            </w:pPr>
            <w:r>
              <w:rPr>
                <w:rFonts w:ascii="Times New Roman" w:hAnsi="Times New Roman" w:cs="Times New Roman"/>
                <w:i/>
              </w:rPr>
              <w:t>SoR</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19" w:type="pct"/>
            <w:tcBorders>
              <w:top w:val="single" w:color="000000" w:sz="6" w:space="0"/>
            </w:tcBorders>
            <w:vAlign w:val="center"/>
          </w:tcPr>
          <w:p>
            <w:pPr>
              <w:pStyle w:val="28"/>
              <w:jc w:val="center"/>
              <w:rPr>
                <w:rFonts w:ascii="Times New Roman" w:hAnsi="Times New Roman" w:cs="Times New Roman"/>
              </w:rPr>
            </w:pPr>
            <w:r>
              <w:rPr>
                <w:rFonts w:ascii="Times New Roman" w:hAnsi="Times New Roman" w:cs="Times New Roman"/>
              </w:rPr>
              <w:t>1</w:t>
            </w:r>
          </w:p>
        </w:tc>
        <w:tc>
          <w:tcPr>
            <w:tcW w:w="1053" w:type="pct"/>
            <w:tcBorders>
              <w:top w:val="single" w:color="000000" w:sz="6" w:space="0"/>
            </w:tcBorders>
            <w:vAlign w:val="center"/>
          </w:tcPr>
          <w:p>
            <w:pPr>
              <w:pStyle w:val="28"/>
              <w:jc w:val="center"/>
              <w:rPr>
                <w:rFonts w:ascii="Times New Roman" w:hAnsi="Times New Roman" w:cs="Times New Roman"/>
                <w:lang w:eastAsia="zh-CN"/>
              </w:rPr>
            </w:pPr>
            <w:r>
              <w:rPr>
                <w:rFonts w:ascii="Times New Roman" w:hAnsi="Times New Roman" w:cs="Times New Roman"/>
                <w:lang w:eastAsia="zh-CN"/>
              </w:rPr>
              <w:t>碳足迹的基准年在次级数据库有效期内</w:t>
            </w:r>
          </w:p>
        </w:tc>
        <w:tc>
          <w:tcPr>
            <w:tcW w:w="1243" w:type="pct"/>
            <w:tcBorders>
              <w:top w:val="single" w:color="000000" w:sz="6" w:space="0"/>
            </w:tcBorders>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建模技术和碳足迹的核算边界一致</w:t>
            </w:r>
          </w:p>
        </w:tc>
        <w:tc>
          <w:tcPr>
            <w:tcW w:w="1279" w:type="pct"/>
            <w:tcBorders>
              <w:top w:val="single" w:color="000000" w:sz="6" w:space="0"/>
            </w:tcBorders>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建模过程发生在碳足迹有效的国家</w:t>
            </w:r>
          </w:p>
        </w:tc>
        <w:tc>
          <w:tcPr>
            <w:tcW w:w="1003" w:type="pct"/>
            <w:tcBorders>
              <w:top w:val="single" w:color="000000" w:sz="6" w:space="0"/>
            </w:tcBorders>
            <w:vAlign w:val="center"/>
          </w:tcPr>
          <w:p>
            <w:pPr>
              <w:pStyle w:val="28"/>
              <w:jc w:val="center"/>
              <w:rPr>
                <w:rFonts w:ascii="Times New Roman" w:hAnsi="Times New Roman" w:cs="Times New Roman"/>
                <w:lang w:eastAsia="zh-CN"/>
              </w:rPr>
            </w:pPr>
            <w:r>
              <w:rPr>
                <w:rFonts w:ascii="Times New Roman" w:hAnsi="Times New Roman" w:cs="Times New Roman"/>
                <w:lang w:eastAsia="zh-CN"/>
              </w:rPr>
              <w:t>现场调查或测量得到的原始数据</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419" w:type="pct"/>
            <w:vAlign w:val="center"/>
          </w:tcPr>
          <w:p>
            <w:pPr>
              <w:pStyle w:val="28"/>
              <w:jc w:val="center"/>
              <w:rPr>
                <w:rFonts w:ascii="Times New Roman" w:hAnsi="Times New Roman" w:cs="Times New Roman"/>
              </w:rPr>
            </w:pPr>
            <w:r>
              <w:rPr>
                <w:rFonts w:ascii="Times New Roman" w:hAnsi="Times New Roman" w:cs="Times New Roman"/>
              </w:rPr>
              <w:t>2</w:t>
            </w:r>
          </w:p>
        </w:tc>
        <w:tc>
          <w:tcPr>
            <w:tcW w:w="105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碳足迹的基准年超出次级数据库有效期≤2年</w:t>
            </w:r>
          </w:p>
        </w:tc>
        <w:tc>
          <w:tcPr>
            <w:tcW w:w="124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建模技术包含在碳足迹的核算边界内</w:t>
            </w:r>
          </w:p>
        </w:tc>
        <w:tc>
          <w:tcPr>
            <w:tcW w:w="1279"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建模过程发生在碳足迹有效的地理区域（如欧洲、亚洲、北美洲、非洲）等</w:t>
            </w:r>
          </w:p>
        </w:tc>
        <w:tc>
          <w:tcPr>
            <w:tcW w:w="100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来自权威的、定期更新的数据，如政府主管部门发布的数据</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981" w:hRule="atLeast"/>
        </w:trPr>
        <w:tc>
          <w:tcPr>
            <w:tcW w:w="419" w:type="pct"/>
            <w:vAlign w:val="center"/>
          </w:tcPr>
          <w:p>
            <w:pPr>
              <w:pStyle w:val="28"/>
              <w:jc w:val="center"/>
              <w:rPr>
                <w:rFonts w:ascii="Times New Roman" w:hAnsi="Times New Roman" w:cs="Times New Roman"/>
              </w:rPr>
            </w:pPr>
            <w:r>
              <w:rPr>
                <w:rFonts w:ascii="Times New Roman" w:hAnsi="Times New Roman" w:cs="Times New Roman"/>
              </w:rPr>
              <w:t>3</w:t>
            </w:r>
          </w:p>
        </w:tc>
        <w:tc>
          <w:tcPr>
            <w:tcW w:w="105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碳足迹的基准年超出次级数据库有效期≤3年</w:t>
            </w:r>
          </w:p>
        </w:tc>
        <w:tc>
          <w:tcPr>
            <w:tcW w:w="124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建模技术仅部分包含在碳足迹的核算边界内</w:t>
            </w:r>
          </w:p>
        </w:tc>
        <w:tc>
          <w:tcPr>
            <w:tcW w:w="1279"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建模过程发生在碳足迹有效的地理区域之一，或者数据集覆盖多个区域</w:t>
            </w:r>
          </w:p>
        </w:tc>
        <w:tc>
          <w:tcPr>
            <w:tcW w:w="100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来自一般文献或专著的不定期更新的数据</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419" w:type="pct"/>
            <w:vAlign w:val="center"/>
          </w:tcPr>
          <w:p>
            <w:pPr>
              <w:pStyle w:val="28"/>
              <w:jc w:val="center"/>
              <w:rPr>
                <w:rFonts w:ascii="Times New Roman" w:hAnsi="Times New Roman" w:cs="Times New Roman"/>
              </w:rPr>
            </w:pPr>
            <w:r>
              <w:rPr>
                <w:rFonts w:ascii="Times New Roman" w:hAnsi="Times New Roman" w:cs="Times New Roman"/>
              </w:rPr>
              <w:t>4</w:t>
            </w:r>
          </w:p>
        </w:tc>
        <w:tc>
          <w:tcPr>
            <w:tcW w:w="105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碳足迹的基准年超出次级数据库有效期≤4年</w:t>
            </w:r>
          </w:p>
        </w:tc>
        <w:tc>
          <w:tcPr>
            <w:tcW w:w="124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建模技术类似于碳足迹核算边界</w:t>
            </w:r>
          </w:p>
        </w:tc>
        <w:tc>
          <w:tcPr>
            <w:tcW w:w="1279"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建模过程发生在一个国家，</w:t>
            </w:r>
          </w:p>
          <w:p>
            <w:pPr>
              <w:pStyle w:val="28"/>
              <w:jc w:val="center"/>
              <w:rPr>
                <w:rFonts w:ascii="Times New Roman" w:hAnsi="Times New Roman" w:cs="Times New Roman"/>
                <w:lang w:eastAsia="zh-CN"/>
              </w:rPr>
            </w:pPr>
            <w:r>
              <w:rPr>
                <w:rFonts w:ascii="Times New Roman" w:hAnsi="Times New Roman" w:cs="Times New Roman"/>
                <w:lang w:eastAsia="zh-CN"/>
              </w:rPr>
              <w:t>该国家不包括在碳足迹有效的地理区域中，但据专家判断估计有足够的相似之处</w:t>
            </w:r>
          </w:p>
        </w:tc>
        <w:tc>
          <w:tcPr>
            <w:tcW w:w="100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基于文献或经验的推论、估计或假设的数据</w:t>
            </w:r>
          </w:p>
        </w:tc>
      </w:tr>
      <w:tr>
        <w:tblPrEx>
          <w:tblBorders>
            <w:top w:val="single" w:color="auto" w:sz="12" w:space="0"/>
            <w:left w:val="single" w:color="auto" w:sz="12" w:space="0"/>
            <w:bottom w:val="single" w:color="auto" w:sz="12" w:space="0"/>
            <w:right w:val="single" w:color="auto" w:sz="1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419" w:type="pct"/>
            <w:vAlign w:val="center"/>
          </w:tcPr>
          <w:p>
            <w:pPr>
              <w:pStyle w:val="28"/>
              <w:jc w:val="center"/>
              <w:rPr>
                <w:rFonts w:ascii="Times New Roman" w:hAnsi="Times New Roman" w:cs="Times New Roman"/>
              </w:rPr>
            </w:pPr>
            <w:r>
              <w:rPr>
                <w:rFonts w:ascii="Times New Roman" w:hAnsi="Times New Roman" w:cs="Times New Roman"/>
              </w:rPr>
              <w:t>5</w:t>
            </w:r>
          </w:p>
        </w:tc>
        <w:tc>
          <w:tcPr>
            <w:tcW w:w="105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碳足迹的基准年超出次级数据库有效期&gt;4年</w:t>
            </w:r>
          </w:p>
        </w:tc>
        <w:tc>
          <w:tcPr>
            <w:tcW w:w="124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建模技术不同于碳足迹核算边界</w:t>
            </w:r>
          </w:p>
        </w:tc>
        <w:tc>
          <w:tcPr>
            <w:tcW w:w="1279"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建模过程发生与碳足迹有效的国家不同的国家</w:t>
            </w:r>
          </w:p>
        </w:tc>
        <w:tc>
          <w:tcPr>
            <w:tcW w:w="1003" w:type="pct"/>
            <w:vAlign w:val="center"/>
          </w:tcPr>
          <w:p>
            <w:pPr>
              <w:pStyle w:val="28"/>
              <w:jc w:val="center"/>
              <w:rPr>
                <w:rFonts w:ascii="Times New Roman" w:hAnsi="Times New Roman" w:cs="Times New Roman"/>
                <w:lang w:eastAsia="zh-CN"/>
              </w:rPr>
            </w:pPr>
            <w:r>
              <w:rPr>
                <w:rFonts w:ascii="Times New Roman" w:hAnsi="Times New Roman" w:cs="Times New Roman"/>
                <w:lang w:eastAsia="zh-CN"/>
              </w:rPr>
              <w:t>无根据的估算与假设的数据</w:t>
            </w:r>
          </w:p>
        </w:tc>
      </w:tr>
    </w:tbl>
    <w:p>
      <w:pPr>
        <w:spacing w:line="113" w:lineRule="exact"/>
      </w:pPr>
    </w:p>
    <w:p>
      <w:pPr>
        <w:rPr>
          <w:rFonts w:ascii="宋体" w:hAnsi="宋体" w:eastAsia="宋体" w:cs="宋体"/>
          <w:spacing w:val="-4"/>
          <w:sz w:val="24"/>
          <w:szCs w:val="24"/>
        </w:rPr>
        <w:sectPr>
          <w:footerReference r:id="rId18" w:type="default"/>
          <w:pgSz w:w="11907" w:h="16839"/>
          <w:pgMar w:top="1687" w:right="1015" w:bottom="957" w:left="1300" w:header="1426" w:footer="780" w:gutter="0"/>
          <w:cols w:space="720" w:num="1"/>
        </w:sectPr>
      </w:pPr>
    </w:p>
    <w:bookmarkEnd w:id="30"/>
    <w:bookmarkEnd w:id="31"/>
    <w:bookmarkEnd w:id="32"/>
    <w:bookmarkEnd w:id="33"/>
    <w:p>
      <w:pPr>
        <w:widowControl/>
        <w:jc w:val="left"/>
        <w:rPr>
          <w:rFonts w:eastAsia="黑体"/>
        </w:rPr>
      </w:pPr>
      <w:bookmarkStart w:id="111" w:name="_Toc14967"/>
      <w:r>
        <w:rPr>
          <w:rFonts w:hint="eastAsia" w:ascii="黑体" w:hAnsi="黑体" w:eastAsia="黑体" w:cs="Times New Roman"/>
          <w:bCs/>
          <w:kern w:val="44"/>
          <w:sz w:val="28"/>
          <w:szCs w:val="28"/>
        </w:rPr>
        <w:t>附录F</w:t>
      </w:r>
    </w:p>
    <w:p>
      <w:pPr>
        <w:pStyle w:val="3"/>
        <w:spacing w:line="221" w:lineRule="auto"/>
        <w:jc w:val="center"/>
        <w:outlineLvl w:val="0"/>
        <w:rPr>
          <w:rFonts w:ascii="黑体" w:hAnsi="黑体" w:eastAsia="黑体" w:cs="黑体"/>
          <w:bCs/>
          <w:spacing w:val="-1"/>
          <w:sz w:val="28"/>
          <w:szCs w:val="28"/>
          <w:lang w:eastAsia="zh-CN"/>
        </w:rPr>
      </w:pPr>
      <w:r>
        <w:rPr>
          <w:rFonts w:hint="eastAsia" w:ascii="黑体" w:hAnsi="黑体" w:eastAsia="黑体" w:cs="黑体"/>
          <w:bCs/>
          <w:spacing w:val="-1"/>
          <w:sz w:val="28"/>
          <w:szCs w:val="28"/>
          <w:lang w:eastAsia="zh-CN"/>
        </w:rPr>
        <w:t>附录</w:t>
      </w:r>
      <w:r>
        <w:rPr>
          <w:rFonts w:hint="eastAsia" w:ascii="黑体" w:hAnsi="黑体" w:eastAsia="黑体" w:cs="黑体"/>
          <w:bCs/>
          <w:spacing w:val="-36"/>
          <w:sz w:val="28"/>
          <w:szCs w:val="28"/>
          <w:lang w:eastAsia="zh-CN"/>
        </w:rPr>
        <w:t xml:space="preserve"> </w:t>
      </w:r>
      <w:r>
        <w:rPr>
          <w:rFonts w:hint="eastAsia" w:ascii="黑体" w:hAnsi="黑体" w:eastAsia="黑体" w:cs="黑体"/>
          <w:bCs/>
          <w:spacing w:val="-1"/>
          <w:sz w:val="28"/>
          <w:szCs w:val="28"/>
          <w:lang w:eastAsia="zh-CN"/>
        </w:rPr>
        <w:t>F</w:t>
      </w:r>
      <w:bookmarkEnd w:id="111"/>
    </w:p>
    <w:p>
      <w:pPr>
        <w:pStyle w:val="3"/>
        <w:spacing w:line="221" w:lineRule="auto"/>
        <w:jc w:val="center"/>
        <w:outlineLvl w:val="0"/>
        <w:rPr>
          <w:rFonts w:ascii="黑体" w:hAnsi="黑体" w:eastAsia="黑体" w:cs="黑体"/>
          <w:bCs/>
          <w:spacing w:val="2"/>
          <w:sz w:val="28"/>
          <w:szCs w:val="28"/>
          <w:lang w:eastAsia="zh-CN"/>
        </w:rPr>
      </w:pPr>
      <w:bookmarkStart w:id="112" w:name="_Toc20352"/>
      <w:r>
        <w:rPr>
          <w:rFonts w:hint="eastAsia" w:ascii="黑体" w:hAnsi="黑体" w:eastAsia="黑体" w:cs="黑体"/>
          <w:bCs/>
          <w:spacing w:val="2"/>
          <w:sz w:val="28"/>
          <w:szCs w:val="28"/>
          <w:lang w:eastAsia="zh-CN"/>
        </w:rPr>
        <w:t>（资料性）</w:t>
      </w:r>
      <w:bookmarkEnd w:id="112"/>
    </w:p>
    <w:p>
      <w:pPr>
        <w:pStyle w:val="3"/>
        <w:spacing w:line="221" w:lineRule="auto"/>
        <w:jc w:val="center"/>
        <w:outlineLvl w:val="0"/>
        <w:rPr>
          <w:rFonts w:ascii="黑体" w:hAnsi="黑体" w:eastAsia="黑体" w:cs="黑体"/>
          <w:bCs/>
          <w:spacing w:val="-1"/>
          <w:sz w:val="28"/>
          <w:szCs w:val="28"/>
          <w:lang w:eastAsia="zh-CN"/>
        </w:rPr>
      </w:pPr>
      <w:bookmarkStart w:id="113" w:name="_Toc14617"/>
      <w:r>
        <w:rPr>
          <w:rFonts w:hint="eastAsia" w:ascii="黑体" w:hAnsi="黑体" w:eastAsia="黑体" w:cs="黑体"/>
          <w:bCs/>
          <w:spacing w:val="-1"/>
          <w:sz w:val="28"/>
          <w:szCs w:val="28"/>
          <w:lang w:eastAsia="zh-CN"/>
        </w:rPr>
        <w:t>不确定度评定方法及示例</w:t>
      </w:r>
      <w:bookmarkEnd w:id="113"/>
    </w:p>
    <w:p>
      <w:pPr>
        <w:pStyle w:val="3"/>
        <w:spacing w:line="221"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F.1方法</w:t>
      </w:r>
    </w:p>
    <w:p>
      <w:pPr>
        <w:pStyle w:val="3"/>
        <w:spacing w:line="221"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F.1.1对象：雪地轮胎全生命周期碳足迹。</w:t>
      </w:r>
    </w:p>
    <w:p>
      <w:pPr>
        <w:pStyle w:val="3"/>
        <w:spacing w:line="221"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F.1.2数据收集周期：1个自然年（采用其它周期的需要说明）。</w:t>
      </w:r>
    </w:p>
    <w:p>
      <w:pPr>
        <w:pStyle w:val="3"/>
        <w:spacing w:line="221"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F.1.3系统边界：材料获取、雪地轮胎产品生产、雪地轮胎产品分销、雪地轮胎产品使用和雪地轮胎产品废弃处理过程五个阶段。</w:t>
      </w:r>
    </w:p>
    <w:p>
      <w:pPr>
        <w:pStyle w:val="3"/>
        <w:spacing w:line="221" w:lineRule="auto"/>
        <w:jc w:val="left"/>
        <w:outlineLvl w:val="0"/>
        <w:rPr>
          <w:rFonts w:ascii="Times New Roman" w:hAnsi="Times New Roman" w:cs="Times New Roman" w:eastAsiaTheme="minorEastAsia"/>
          <w:kern w:val="0"/>
          <w:lang w:eastAsia="zh-CN"/>
        </w:rPr>
      </w:pPr>
      <w:r>
        <w:rPr>
          <w:rFonts w:ascii="Times New Roman" w:hAnsi="Times New Roman" w:cs="Times New Roman" w:eastAsiaTheme="minorEastAsia"/>
          <w:lang w:eastAsia="zh-CN"/>
        </w:rPr>
        <w:t>F.1.4不确定度评定量化单位：1条雪地轮胎全生命周期碳足迹，</w:t>
      </w:r>
      <w:r>
        <w:rPr>
          <w:rFonts w:ascii="Times New Roman" w:hAnsi="Times New Roman" w:cs="Times New Roman" w:eastAsiaTheme="minorEastAsia"/>
          <w:kern w:val="0"/>
          <w:lang w:eastAsia="zh-CN"/>
        </w:rPr>
        <w:t>千克二氧化碳当量（kgCO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p>
    <w:p>
      <w:pPr>
        <w:pStyle w:val="3"/>
        <w:spacing w:line="221" w:lineRule="auto"/>
        <w:jc w:val="left"/>
        <w:outlineLvl w:val="0"/>
        <w:rPr>
          <w:rFonts w:ascii="Times New Roman" w:hAnsi="Times New Roman" w:cs="Times New Roman" w:eastAsiaTheme="minorEastAsia"/>
          <w:kern w:val="0"/>
          <w:lang w:eastAsia="zh-CN"/>
        </w:rPr>
      </w:pPr>
    </w:p>
    <w:p>
      <w:pPr>
        <w:pStyle w:val="3"/>
        <w:spacing w:line="221" w:lineRule="auto"/>
        <w:jc w:val="left"/>
        <w:outlineLvl w:val="0"/>
        <w:rPr>
          <w:rFonts w:ascii="Times New Roman" w:hAnsi="Times New Roman" w:cs="Times New Roman" w:eastAsiaTheme="minorEastAsia"/>
          <w:kern w:val="0"/>
          <w:lang w:eastAsia="zh-CN"/>
        </w:rPr>
      </w:pPr>
      <w:r>
        <w:rPr>
          <w:rFonts w:ascii="Times New Roman" w:hAnsi="Times New Roman" w:cs="Times New Roman" w:eastAsiaTheme="minorEastAsia"/>
          <w:kern w:val="0"/>
          <w:lang w:eastAsia="zh-CN"/>
        </w:rPr>
        <w:t>F.2数学模型</w:t>
      </w:r>
    </w:p>
    <w:p>
      <w:pPr>
        <w:ind w:firstLine="420" w:firstLineChars="200"/>
        <w:rPr>
          <w:rFonts w:ascii="Times New Roman" w:hAnsi="Times New Roman" w:cs="Times New Roman"/>
          <w:kern w:val="0"/>
          <w:szCs w:val="21"/>
        </w:rPr>
      </w:pPr>
      <w:r>
        <w:rPr>
          <w:rFonts w:ascii="Times New Roman" w:hAnsi="Times New Roman" w:cs="Times New Roman"/>
          <w:kern w:val="0"/>
          <w:szCs w:val="21"/>
        </w:rPr>
        <w:t>雪地轮胎产品碳足迹按式（</w:t>
      </w:r>
      <w:r>
        <w:rPr>
          <w:rFonts w:ascii="Times New Roman" w:hAnsi="Times New Roman" w:cs="Times New Roman"/>
          <w:iCs/>
        </w:rPr>
        <w:t>F.1</w:t>
      </w:r>
      <w:r>
        <w:rPr>
          <w:rFonts w:ascii="Times New Roman" w:hAnsi="Times New Roman" w:cs="Times New Roman"/>
          <w:kern w:val="0"/>
          <w:szCs w:val="21"/>
        </w:rPr>
        <w:t>）进行计算，计算结果圆整（四舍五入）至小数点后两位：</w:t>
      </w:r>
    </w:p>
    <w:p>
      <w:pPr>
        <w:ind w:firstLine="315" w:firstLineChars="150"/>
        <w:rPr>
          <w:rFonts w:ascii="Times New Roman" w:hAnsi="Times New Roman" w:cs="Times New Roman"/>
          <w:iCs/>
          <w:szCs w:val="21"/>
        </w:rPr>
      </w:pPr>
    </w:p>
    <w:p>
      <w:pPr>
        <w:pStyle w:val="3"/>
        <w:spacing w:line="360" w:lineRule="auto"/>
        <w:jc w:val="center"/>
        <w:outlineLvl w:val="0"/>
        <w:rPr>
          <w:rFonts w:ascii="Times New Roman" w:hAnsi="Times New Roman" w:cs="Times New Roman" w:eastAsiaTheme="minorEastAsia"/>
          <w:iCs/>
        </w:rPr>
      </w:pPr>
      <w:r>
        <w:rPr>
          <w:rFonts w:hint="eastAsia" w:ascii="Times New Roman" w:hAnsi="Times New Roman" w:cs="Times New Roman" w:eastAsiaTheme="minorEastAsia"/>
          <w:iCs/>
          <w:lang w:eastAsia="zh-CN"/>
        </w:rPr>
        <w:t xml:space="preserve">                        </w:t>
      </w:r>
      <m:oMath>
        <m:sSub>
          <m:sSubPr>
            <m:ctrlPr>
              <w:rPr>
                <w:rFonts w:ascii="Cambria Math" w:hAnsi="Cambria Math" w:cs="Times New Roman" w:eastAsiaTheme="minorEastAsia"/>
                <w:i/>
                <w:iCs/>
              </w:rPr>
            </m:ctrlPr>
          </m:sSubPr>
          <m:e>
            <m:r>
              <m:rPr/>
              <w:rPr>
                <w:rFonts w:ascii="Cambria Math" w:hAnsi="Cambria Math" w:cs="Times New Roman" w:eastAsiaTheme="minorEastAsia"/>
              </w:rPr>
              <m:t>C</m:t>
            </m:r>
            <m:ctrlPr>
              <w:rPr>
                <w:rFonts w:ascii="Cambria Math" w:hAnsi="Cambria Math" w:cs="Times New Roman" w:eastAsiaTheme="minorEastAsia"/>
                <w:i/>
                <w:iCs/>
              </w:rPr>
            </m:ctrlPr>
          </m:e>
          <m:sub>
            <m:r>
              <m:rPr>
                <m:sty m:val="p"/>
              </m:rPr>
              <w:rPr>
                <w:rFonts w:ascii="Cambria Math" w:hAnsi="Cambria Math" w:cs="Times New Roman" w:eastAsiaTheme="minorEastAsia"/>
              </w:rPr>
              <m:t>轮胎</m:t>
            </m:r>
            <m:ctrlPr>
              <w:rPr>
                <w:rFonts w:ascii="Cambria Math" w:hAnsi="Cambria Math" w:cs="Times New Roman" w:eastAsiaTheme="minorEastAsia"/>
                <w:i/>
                <w:iCs/>
              </w:rPr>
            </m:ctrlPr>
          </m:sub>
        </m:sSub>
        <m:r>
          <m:rPr>
            <m:sty m:val="p"/>
          </m:rPr>
          <w:rPr>
            <w:rFonts w:ascii="Cambria Math" w:hAnsi="Cambria Math" w:cs="Times New Roman" w:eastAsiaTheme="minorEastAsia"/>
          </w:rPr>
          <m:t>=</m:t>
        </m:r>
        <m:sSub>
          <m:sSubPr>
            <m:ctrlPr>
              <w:rPr>
                <w:rFonts w:ascii="Cambria Math" w:hAnsi="Cambria Math" w:cs="Times New Roman" w:eastAsiaTheme="minorEastAsia"/>
                <w:i/>
                <w:iCs/>
              </w:rPr>
            </m:ctrlPr>
          </m:sSubPr>
          <m:e>
            <m:r>
              <m:rPr/>
              <w:rPr>
                <w:rFonts w:ascii="Cambria Math" w:hAnsi="Cambria Math" w:cs="Times New Roman" w:eastAsiaTheme="minorEastAsia"/>
              </w:rPr>
              <m:t>C</m:t>
            </m:r>
            <m:ctrlPr>
              <w:rPr>
                <w:rFonts w:ascii="Cambria Math" w:hAnsi="Cambria Math" w:cs="Times New Roman" w:eastAsiaTheme="minorEastAsia"/>
                <w:i/>
                <w:iCs/>
              </w:rPr>
            </m:ctrlPr>
          </m:e>
          <m:sub>
            <m:r>
              <m:rPr>
                <m:sty m:val="p"/>
              </m:rPr>
              <w:rPr>
                <w:rFonts w:ascii="Cambria Math" w:hAnsi="Cambria Math" w:cs="Times New Roman" w:eastAsiaTheme="minorEastAsia"/>
              </w:rPr>
              <m:t>材料</m:t>
            </m:r>
            <m:ctrlPr>
              <w:rPr>
                <w:rFonts w:ascii="Cambria Math" w:hAnsi="Cambria Math" w:cs="Times New Roman" w:eastAsiaTheme="minorEastAsia"/>
                <w:i/>
                <w:iCs/>
              </w:rPr>
            </m:ctrlPr>
          </m:sub>
        </m:sSub>
        <m:r>
          <m:rPr/>
          <w:rPr>
            <w:rFonts w:ascii="Cambria Math" w:hAnsi="Cambria Math" w:cs="Times New Roman" w:eastAsiaTheme="minorEastAsia"/>
          </w:rPr>
          <m:t>+</m:t>
        </m:r>
        <m:sSub>
          <m:sSubPr>
            <m:ctrlPr>
              <w:rPr>
                <w:rFonts w:ascii="Cambria Math" w:hAnsi="Cambria Math" w:cs="Times New Roman" w:eastAsiaTheme="minorEastAsia"/>
                <w:i/>
                <w:iCs/>
              </w:rPr>
            </m:ctrlPr>
          </m:sSubPr>
          <m:e>
            <m:r>
              <m:rPr/>
              <w:rPr>
                <w:rFonts w:ascii="Cambria Math" w:hAnsi="Cambria Math" w:cs="Times New Roman" w:eastAsiaTheme="minorEastAsia"/>
              </w:rPr>
              <m:t>C</m:t>
            </m:r>
            <m:ctrlPr>
              <w:rPr>
                <w:rFonts w:ascii="Cambria Math" w:hAnsi="Cambria Math" w:cs="Times New Roman" w:eastAsiaTheme="minorEastAsia"/>
                <w:i/>
                <w:iCs/>
              </w:rPr>
            </m:ctrlPr>
          </m:e>
          <m:sub>
            <m:r>
              <m:rPr>
                <m:sty m:val="p"/>
              </m:rPr>
              <w:rPr>
                <w:rFonts w:ascii="Cambria Math" w:hAnsi="Cambria Math" w:cs="Times New Roman" w:eastAsiaTheme="minorEastAsia"/>
              </w:rPr>
              <m:t>生产</m:t>
            </m:r>
            <m:ctrlPr>
              <w:rPr>
                <w:rFonts w:ascii="Cambria Math" w:hAnsi="Cambria Math" w:cs="Times New Roman" w:eastAsiaTheme="minorEastAsia"/>
                <w:i/>
                <w:iCs/>
              </w:rPr>
            </m:ctrlPr>
          </m:sub>
        </m:sSub>
        <m:r>
          <m:rPr/>
          <w:rPr>
            <w:rFonts w:ascii="Cambria Math" w:hAnsi="Cambria Math" w:cs="Times New Roman" w:eastAsiaTheme="minorEastAsia"/>
          </w:rPr>
          <m:t>+</m:t>
        </m:r>
        <m:sSub>
          <m:sSubPr>
            <m:ctrlPr>
              <w:rPr>
                <w:rFonts w:ascii="Cambria Math" w:hAnsi="Cambria Math" w:cs="Times New Roman" w:eastAsiaTheme="minorEastAsia"/>
                <w:i/>
                <w:iCs/>
              </w:rPr>
            </m:ctrlPr>
          </m:sSubPr>
          <m:e>
            <m:r>
              <m:rPr/>
              <w:rPr>
                <w:rFonts w:ascii="Cambria Math" w:hAnsi="Cambria Math" w:cs="Times New Roman" w:eastAsiaTheme="minorEastAsia"/>
              </w:rPr>
              <m:t>C</m:t>
            </m:r>
            <m:ctrlPr>
              <w:rPr>
                <w:rFonts w:ascii="Cambria Math" w:hAnsi="Cambria Math" w:cs="Times New Roman" w:eastAsiaTheme="minorEastAsia"/>
                <w:i/>
                <w:iCs/>
              </w:rPr>
            </m:ctrlPr>
          </m:e>
          <m:sub>
            <m:r>
              <m:rPr>
                <m:sty m:val="p"/>
              </m:rPr>
              <w:rPr>
                <w:rFonts w:ascii="Cambria Math" w:hAnsi="Cambria Math" w:cs="Times New Roman" w:eastAsiaTheme="minorEastAsia"/>
              </w:rPr>
              <m:t>分销</m:t>
            </m:r>
            <m:ctrlPr>
              <w:rPr>
                <w:rFonts w:ascii="Cambria Math" w:hAnsi="Cambria Math" w:cs="Times New Roman" w:eastAsiaTheme="minorEastAsia"/>
                <w:i/>
                <w:iCs/>
              </w:rPr>
            </m:ctrlPr>
          </m:sub>
        </m:sSub>
        <m:r>
          <m:rPr/>
          <w:rPr>
            <w:rFonts w:ascii="Cambria Math" w:hAnsi="Cambria Math" w:cs="Times New Roman" w:eastAsiaTheme="minorEastAsia"/>
          </w:rPr>
          <m:t>+</m:t>
        </m:r>
        <m:sSub>
          <m:sSubPr>
            <m:ctrlPr>
              <w:rPr>
                <w:rFonts w:ascii="Cambria Math" w:hAnsi="Cambria Math" w:cs="Times New Roman" w:eastAsiaTheme="minorEastAsia"/>
                <w:i/>
                <w:iCs/>
              </w:rPr>
            </m:ctrlPr>
          </m:sSubPr>
          <m:e>
            <m:r>
              <m:rPr/>
              <w:rPr>
                <w:rFonts w:ascii="Cambria Math" w:hAnsi="Cambria Math" w:cs="Times New Roman" w:eastAsiaTheme="minorEastAsia"/>
              </w:rPr>
              <m:t>C</m:t>
            </m:r>
            <m:ctrlPr>
              <w:rPr>
                <w:rFonts w:ascii="Cambria Math" w:hAnsi="Cambria Math" w:cs="Times New Roman" w:eastAsiaTheme="minorEastAsia"/>
                <w:i/>
                <w:iCs/>
              </w:rPr>
            </m:ctrlPr>
          </m:e>
          <m:sub>
            <m:r>
              <m:rPr>
                <m:sty m:val="p"/>
              </m:rPr>
              <w:rPr>
                <w:rFonts w:ascii="Cambria Math" w:hAnsi="Cambria Math" w:cs="Times New Roman" w:eastAsiaTheme="minorEastAsia"/>
              </w:rPr>
              <m:t>使用</m:t>
            </m:r>
            <m:ctrlPr>
              <w:rPr>
                <w:rFonts w:ascii="Cambria Math" w:hAnsi="Cambria Math" w:cs="Times New Roman" w:eastAsiaTheme="minorEastAsia"/>
                <w:i/>
                <w:iCs/>
              </w:rPr>
            </m:ctrlPr>
          </m:sub>
        </m:sSub>
        <m:r>
          <m:rPr/>
          <w:rPr>
            <w:rFonts w:ascii="Cambria Math" w:hAnsi="Cambria Math" w:cs="Times New Roman" w:eastAsiaTheme="minorEastAsia"/>
          </w:rPr>
          <m:t>+</m:t>
        </m:r>
        <m:sSub>
          <m:sSubPr>
            <m:ctrlPr>
              <w:rPr>
                <w:rFonts w:ascii="Cambria Math" w:hAnsi="Cambria Math" w:cs="Times New Roman" w:eastAsiaTheme="minorEastAsia"/>
                <w:i/>
                <w:iCs/>
              </w:rPr>
            </m:ctrlPr>
          </m:sSubPr>
          <m:e>
            <m:r>
              <m:rPr/>
              <w:rPr>
                <w:rFonts w:ascii="Cambria Math" w:hAnsi="Cambria Math" w:cs="Times New Roman" w:eastAsiaTheme="minorEastAsia"/>
              </w:rPr>
              <m:t>C</m:t>
            </m:r>
            <m:ctrlPr>
              <w:rPr>
                <w:rFonts w:ascii="Cambria Math" w:hAnsi="Cambria Math" w:cs="Times New Roman" w:eastAsiaTheme="minorEastAsia"/>
                <w:i/>
                <w:iCs/>
              </w:rPr>
            </m:ctrlPr>
          </m:e>
          <m:sub>
            <m:r>
              <m:rPr>
                <m:sty m:val="p"/>
              </m:rPr>
              <w:rPr>
                <w:rFonts w:ascii="Cambria Math" w:hAnsi="Cambria Math" w:cs="Times New Roman" w:eastAsiaTheme="minorEastAsia"/>
              </w:rPr>
              <m:t>废弃</m:t>
            </m:r>
            <m:ctrlPr>
              <w:rPr>
                <w:rFonts w:ascii="Cambria Math" w:hAnsi="Cambria Math" w:cs="Times New Roman" w:eastAsiaTheme="minorEastAsia"/>
                <w:i/>
                <w:iCs/>
              </w:rPr>
            </m:ctrlPr>
          </m:sub>
        </m:sSub>
      </m:oMath>
      <w:r>
        <w:rPr>
          <w:rFonts w:ascii="Times New Roman" w:hAnsi="Times New Roman" w:cs="Times New Roman" w:eastAsiaTheme="minorEastAsia"/>
          <w:iCs/>
        </w:rPr>
        <w:t xml:space="preserve">             </w:t>
      </w:r>
      <w:r>
        <w:rPr>
          <w:rFonts w:hint="eastAsia" w:ascii="Times New Roman" w:hAnsi="Times New Roman" w:cs="Times New Roman" w:eastAsiaTheme="minorEastAsia"/>
          <w:iCs/>
          <w:lang w:eastAsia="zh-CN"/>
        </w:rPr>
        <w:t xml:space="preserve">             （</w:t>
      </w:r>
      <w:r>
        <w:rPr>
          <w:rFonts w:ascii="Times New Roman" w:hAnsi="Times New Roman" w:cs="Times New Roman" w:eastAsiaTheme="minorEastAsia"/>
          <w:iCs/>
          <w:lang w:eastAsia="zh-CN"/>
        </w:rPr>
        <w:t>F.1</w:t>
      </w:r>
      <w:r>
        <w:rPr>
          <w:rFonts w:hint="eastAsia" w:ascii="Times New Roman" w:hAnsi="Times New Roman" w:cs="Times New Roman" w:eastAsiaTheme="minorEastAsia"/>
          <w:iCs/>
          <w:lang w:eastAsia="zh-CN"/>
        </w:rPr>
        <w:t>）</w:t>
      </w:r>
    </w:p>
    <w:p>
      <w:pPr>
        <w:pStyle w:val="3"/>
        <w:spacing w:line="221" w:lineRule="auto"/>
        <w:jc w:val="left"/>
        <w:outlineLvl w:val="0"/>
        <w:rPr>
          <w:rFonts w:ascii="Times New Roman" w:hAnsi="Times New Roman" w:cs="Times New Roman" w:eastAsiaTheme="minorEastAsia"/>
          <w:lang w:eastAsia="zh-CN"/>
        </w:rPr>
      </w:pPr>
    </w:p>
    <w:p>
      <w:pPr>
        <w:pStyle w:val="3"/>
        <w:spacing w:before="75" w:line="230" w:lineRule="auto"/>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F.3不确定度计算公式</w:t>
      </w:r>
    </w:p>
    <w:p>
      <w:pPr>
        <w:pStyle w:val="3"/>
        <w:spacing w:before="75" w:line="230"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 xml:space="preserve">    合成标准不确定度：</w:t>
      </w:r>
    </w:p>
    <w:p>
      <w:pPr>
        <w:pStyle w:val="3"/>
        <w:spacing w:before="75" w:line="230" w:lineRule="auto"/>
        <w:jc w:val="center"/>
        <w:outlineLvl w:val="0"/>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                </w:t>
      </w: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轮胎</m:t>
            </m:r>
            <m:ctrlPr>
              <w:rPr>
                <w:rFonts w:ascii="Cambria Math" w:hAnsi="Cambria Math" w:cs="Times New Roman" w:eastAsiaTheme="minorEastAsia"/>
                <w:i/>
              </w:rPr>
            </m:ctrlPr>
          </m:sub>
        </m:sSub>
        <m:r>
          <m:rPr/>
          <w:rPr>
            <w:rFonts w:ascii="Cambria Math" w:hAnsi="Cambria Math" w:cs="Times New Roman" w:eastAsiaTheme="minorEastAsia"/>
            <w:lang w:eastAsia="zh-CN"/>
          </w:rPr>
          <m:t>=</m:t>
        </m:r>
        <m:rad>
          <m:radPr>
            <m:degHide m:val="true"/>
            <m:ctrlPr>
              <w:rPr>
                <w:rFonts w:ascii="Cambria Math" w:hAnsi="Cambria Math" w:cs="Times New Roman" w:eastAsiaTheme="minorEastAsia"/>
                <w:i/>
              </w:rPr>
            </m:ctrlPr>
          </m:radPr>
          <m:deg>
            <m:ctrlPr>
              <w:rPr>
                <w:rFonts w:ascii="Cambria Math" w:hAnsi="Cambria Math" w:cs="Times New Roman" w:eastAsiaTheme="minorEastAsia"/>
                <w:i/>
              </w:rPr>
            </m:ctrlPr>
          </m:deg>
          <m:e>
            <m:sSup>
              <m:sSupPr>
                <m:ctrlPr>
                  <w:rPr>
                    <w:rFonts w:ascii="Cambria Math" w:hAnsi="Cambria Math" w:cs="Times New Roman" w:eastAsiaTheme="minorEastAsia"/>
                    <w:i/>
                  </w:rPr>
                </m:ctrlPr>
              </m:sSupPr>
              <m:e>
                <m:r>
                  <m:rPr/>
                  <w:rPr>
                    <w:rFonts w:ascii="Cambria Math" w:hAnsi="Cambria Math" w:cs="Times New Roman" w:eastAsiaTheme="minorEastAsia"/>
                    <w:lang w:eastAsia="zh-CN"/>
                  </w:rPr>
                  <m:t>(</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材料</m:t>
                    </m:r>
                    <m:ctrlPr>
                      <w:rPr>
                        <w:rFonts w:ascii="Cambria Math" w:hAnsi="Cambria Math" w:cs="Times New Roman" w:eastAsiaTheme="minorEastAsia"/>
                        <w:i/>
                      </w:rPr>
                    </m:ctrlPr>
                  </m:sub>
                </m:sSub>
                <m:r>
                  <m:rPr/>
                  <w:rPr>
                    <w:rFonts w:ascii="Cambria Math" w:hAnsi="Cambria Math" w:cs="Times New Roman" w:eastAsiaTheme="minorEastAsia"/>
                    <w:lang w:eastAsia="zh-CN"/>
                  </w:rPr>
                  <m:t>)</m:t>
                </m:r>
                <m:ctrlPr>
                  <w:rPr>
                    <w:rFonts w:ascii="Cambria Math" w:hAnsi="Cambria Math" w:cs="Times New Roman" w:eastAsiaTheme="minorEastAsia"/>
                    <w:i/>
                  </w:rPr>
                </m:ctrlPr>
              </m:e>
              <m:sup>
                <m:r>
                  <m:rPr/>
                  <w:rPr>
                    <w:rFonts w:ascii="Cambria Math" w:hAnsi="Cambria Math" w:cs="Times New Roman" w:eastAsiaTheme="minorEastAsia"/>
                    <w:lang w:eastAsia="zh-CN"/>
                  </w:rPr>
                  <m:t>2</m:t>
                </m:r>
                <m:ctrlPr>
                  <w:rPr>
                    <w:rFonts w:ascii="Cambria Math" w:hAnsi="Cambria Math" w:cs="Times New Roman" w:eastAsiaTheme="minorEastAsia"/>
                    <w:i/>
                  </w:rPr>
                </m:ctrlPr>
              </m:sup>
            </m:sSup>
            <m:r>
              <m:rPr/>
              <w:rPr>
                <w:rFonts w:ascii="Cambria Math" w:hAnsi="Cambria Math" w:cs="Times New Roman" w:eastAsiaTheme="minorEastAsia"/>
                <w:lang w:eastAsia="zh-CN"/>
              </w:rPr>
              <m:t>+</m:t>
            </m:r>
            <m:sSup>
              <m:sSupPr>
                <m:ctrlPr>
                  <w:rPr>
                    <w:rFonts w:ascii="Cambria Math" w:hAnsi="Cambria Math" w:cs="Times New Roman" w:eastAsiaTheme="minorEastAsia"/>
                    <w:i/>
                  </w:rPr>
                </m:ctrlPr>
              </m:sSupPr>
              <m:e>
                <m:r>
                  <m:rPr/>
                  <w:rPr>
                    <w:rFonts w:ascii="Cambria Math" w:hAnsi="Cambria Math" w:cs="Times New Roman" w:eastAsiaTheme="minorEastAsia"/>
                    <w:lang w:eastAsia="zh-CN"/>
                  </w:rPr>
                  <m:t>(</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生产</m:t>
                    </m:r>
                    <m:ctrlPr>
                      <w:rPr>
                        <w:rFonts w:ascii="Cambria Math" w:hAnsi="Cambria Math" w:cs="Times New Roman" w:eastAsiaTheme="minorEastAsia"/>
                        <w:i/>
                      </w:rPr>
                    </m:ctrlPr>
                  </m:sub>
                </m:sSub>
                <m:r>
                  <m:rPr/>
                  <w:rPr>
                    <w:rFonts w:ascii="Cambria Math" w:hAnsi="Cambria Math" w:cs="Times New Roman" w:eastAsiaTheme="minorEastAsia"/>
                    <w:lang w:eastAsia="zh-CN"/>
                  </w:rPr>
                  <m:t>)</m:t>
                </m:r>
                <m:ctrlPr>
                  <w:rPr>
                    <w:rFonts w:ascii="Cambria Math" w:hAnsi="Cambria Math" w:cs="Times New Roman" w:eastAsiaTheme="minorEastAsia"/>
                    <w:i/>
                  </w:rPr>
                </m:ctrlPr>
              </m:e>
              <m:sup>
                <m:r>
                  <m:rPr/>
                  <w:rPr>
                    <w:rFonts w:ascii="Cambria Math" w:hAnsi="Cambria Math" w:cs="Times New Roman" w:eastAsiaTheme="minorEastAsia"/>
                    <w:lang w:eastAsia="zh-CN"/>
                  </w:rPr>
                  <m:t>2</m:t>
                </m:r>
                <m:ctrlPr>
                  <w:rPr>
                    <w:rFonts w:ascii="Cambria Math" w:hAnsi="Cambria Math" w:cs="Times New Roman" w:eastAsiaTheme="minorEastAsia"/>
                    <w:i/>
                  </w:rPr>
                </m:ctrlPr>
              </m:sup>
            </m:sSup>
            <m:r>
              <m:rPr/>
              <w:rPr>
                <w:rFonts w:ascii="Cambria Math" w:hAnsi="Cambria Math" w:cs="Times New Roman" w:eastAsiaTheme="minorEastAsia"/>
                <w:lang w:eastAsia="zh-CN"/>
              </w:rPr>
              <m:t>+</m:t>
            </m:r>
            <m:sSup>
              <m:sSupPr>
                <m:ctrlPr>
                  <w:rPr>
                    <w:rFonts w:ascii="Cambria Math" w:hAnsi="Cambria Math" w:cs="Times New Roman" w:eastAsiaTheme="minorEastAsia"/>
                    <w:i/>
                  </w:rPr>
                </m:ctrlPr>
              </m:sSupPr>
              <m:e>
                <m:r>
                  <m:rPr/>
                  <w:rPr>
                    <w:rFonts w:ascii="Cambria Math" w:hAnsi="Cambria Math" w:cs="Times New Roman" w:eastAsiaTheme="minorEastAsia"/>
                    <w:lang w:eastAsia="zh-CN"/>
                  </w:rPr>
                  <m:t>(</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分销</m:t>
                    </m:r>
                    <m:ctrlPr>
                      <w:rPr>
                        <w:rFonts w:ascii="Cambria Math" w:hAnsi="Cambria Math" w:cs="Times New Roman" w:eastAsiaTheme="minorEastAsia"/>
                        <w:i/>
                      </w:rPr>
                    </m:ctrlPr>
                  </m:sub>
                </m:sSub>
                <m:r>
                  <m:rPr/>
                  <w:rPr>
                    <w:rFonts w:ascii="Cambria Math" w:hAnsi="Cambria Math" w:cs="Times New Roman" w:eastAsiaTheme="minorEastAsia"/>
                    <w:lang w:eastAsia="zh-CN"/>
                  </w:rPr>
                  <m:t>)</m:t>
                </m:r>
                <m:ctrlPr>
                  <w:rPr>
                    <w:rFonts w:ascii="Cambria Math" w:hAnsi="Cambria Math" w:cs="Times New Roman" w:eastAsiaTheme="minorEastAsia"/>
                    <w:i/>
                  </w:rPr>
                </m:ctrlPr>
              </m:e>
              <m:sup>
                <m:r>
                  <m:rPr/>
                  <w:rPr>
                    <w:rFonts w:ascii="Cambria Math" w:hAnsi="Cambria Math" w:cs="Times New Roman" w:eastAsiaTheme="minorEastAsia"/>
                    <w:lang w:eastAsia="zh-CN"/>
                  </w:rPr>
                  <m:t>2</m:t>
                </m:r>
                <m:ctrlPr>
                  <w:rPr>
                    <w:rFonts w:ascii="Cambria Math" w:hAnsi="Cambria Math" w:cs="Times New Roman" w:eastAsiaTheme="minorEastAsia"/>
                    <w:i/>
                  </w:rPr>
                </m:ctrlPr>
              </m:sup>
            </m:sSup>
            <m:r>
              <m:rPr/>
              <w:rPr>
                <w:rFonts w:ascii="Cambria Math" w:hAnsi="Cambria Math" w:cs="Times New Roman" w:eastAsiaTheme="minorEastAsia"/>
                <w:lang w:eastAsia="zh-CN"/>
              </w:rPr>
              <m:t>+</m:t>
            </m:r>
            <m:sSup>
              <m:sSupPr>
                <m:ctrlPr>
                  <w:rPr>
                    <w:rFonts w:ascii="Cambria Math" w:hAnsi="Cambria Math" w:cs="Times New Roman" w:eastAsiaTheme="minorEastAsia"/>
                    <w:i/>
                  </w:rPr>
                </m:ctrlPr>
              </m:sSupPr>
              <m:e>
                <m:r>
                  <m:rPr/>
                  <w:rPr>
                    <w:rFonts w:ascii="Cambria Math" w:hAnsi="Cambria Math" w:cs="Times New Roman" w:eastAsiaTheme="minorEastAsia"/>
                    <w:lang w:eastAsia="zh-CN"/>
                  </w:rPr>
                  <m:t>(</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使用</m:t>
                    </m:r>
                    <m:ctrlPr>
                      <w:rPr>
                        <w:rFonts w:ascii="Cambria Math" w:hAnsi="Cambria Math" w:cs="Times New Roman" w:eastAsiaTheme="minorEastAsia"/>
                        <w:i/>
                      </w:rPr>
                    </m:ctrlPr>
                  </m:sub>
                </m:sSub>
                <m:r>
                  <m:rPr/>
                  <w:rPr>
                    <w:rFonts w:ascii="Cambria Math" w:hAnsi="Cambria Math" w:cs="Times New Roman" w:eastAsiaTheme="minorEastAsia"/>
                    <w:lang w:eastAsia="zh-CN"/>
                  </w:rPr>
                  <m:t>)</m:t>
                </m:r>
                <m:ctrlPr>
                  <w:rPr>
                    <w:rFonts w:ascii="Cambria Math" w:hAnsi="Cambria Math" w:cs="Times New Roman" w:eastAsiaTheme="minorEastAsia"/>
                    <w:i/>
                  </w:rPr>
                </m:ctrlPr>
              </m:e>
              <m:sup>
                <m:r>
                  <m:rPr/>
                  <w:rPr>
                    <w:rFonts w:ascii="Cambria Math" w:hAnsi="Cambria Math" w:cs="Times New Roman" w:eastAsiaTheme="minorEastAsia"/>
                    <w:lang w:eastAsia="zh-CN"/>
                  </w:rPr>
                  <m:t>2</m:t>
                </m:r>
                <m:ctrlPr>
                  <w:rPr>
                    <w:rFonts w:ascii="Cambria Math" w:hAnsi="Cambria Math" w:cs="Times New Roman" w:eastAsiaTheme="minorEastAsia"/>
                    <w:i/>
                  </w:rPr>
                </m:ctrlPr>
              </m:sup>
            </m:sSup>
            <m:r>
              <m:rPr/>
              <w:rPr>
                <w:rFonts w:ascii="Cambria Math" w:hAnsi="Cambria Math" w:cs="Times New Roman" w:eastAsiaTheme="minorEastAsia"/>
                <w:lang w:eastAsia="zh-CN"/>
              </w:rPr>
              <m:t>+</m:t>
            </m:r>
            <m:sSup>
              <m:sSupPr>
                <m:ctrlPr>
                  <w:rPr>
                    <w:rFonts w:ascii="Cambria Math" w:hAnsi="Cambria Math" w:cs="Times New Roman" w:eastAsiaTheme="minorEastAsia"/>
                    <w:i/>
                  </w:rPr>
                </m:ctrlPr>
              </m:sSupPr>
              <m:e>
                <m:r>
                  <m:rPr/>
                  <w:rPr>
                    <w:rFonts w:ascii="Cambria Math" w:hAnsi="Cambria Math" w:cs="Times New Roman" w:eastAsiaTheme="minorEastAsia"/>
                    <w:lang w:eastAsia="zh-CN"/>
                  </w:rPr>
                  <m:t>(</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废弃</m:t>
                    </m:r>
                    <m:ctrlPr>
                      <w:rPr>
                        <w:rFonts w:ascii="Cambria Math" w:hAnsi="Cambria Math" w:cs="Times New Roman" w:eastAsiaTheme="minorEastAsia"/>
                        <w:i/>
                      </w:rPr>
                    </m:ctrlPr>
                  </m:sub>
                </m:sSub>
                <m:r>
                  <m:rPr/>
                  <w:rPr>
                    <w:rFonts w:ascii="Cambria Math" w:hAnsi="Cambria Math" w:cs="Times New Roman" w:eastAsiaTheme="minorEastAsia"/>
                    <w:lang w:eastAsia="zh-CN"/>
                  </w:rPr>
                  <m:t>)</m:t>
                </m:r>
                <m:ctrlPr>
                  <w:rPr>
                    <w:rFonts w:ascii="Cambria Math" w:hAnsi="Cambria Math" w:cs="Times New Roman" w:eastAsiaTheme="minorEastAsia"/>
                    <w:i/>
                  </w:rPr>
                </m:ctrlPr>
              </m:e>
              <m:sup>
                <m:r>
                  <m:rPr/>
                  <w:rPr>
                    <w:rFonts w:ascii="Cambria Math" w:hAnsi="Cambria Math" w:cs="Times New Roman" w:eastAsiaTheme="minorEastAsia"/>
                    <w:lang w:eastAsia="zh-CN"/>
                  </w:rPr>
                  <m:t>2</m:t>
                </m:r>
                <m:ctrlPr>
                  <w:rPr>
                    <w:rFonts w:ascii="Cambria Math" w:hAnsi="Cambria Math" w:cs="Times New Roman" w:eastAsiaTheme="minorEastAsia"/>
                    <w:i/>
                  </w:rPr>
                </m:ctrlPr>
              </m:sup>
            </m:sSup>
            <m:ctrlPr>
              <w:rPr>
                <w:rFonts w:ascii="Cambria Math" w:hAnsi="Cambria Math" w:cs="Times New Roman" w:eastAsiaTheme="minorEastAsia"/>
                <w:i/>
              </w:rPr>
            </m:ctrlPr>
          </m:e>
        </m:rad>
      </m:oMath>
      <w:r>
        <w:rPr>
          <w:rFonts w:ascii="Times New Roman" w:hAnsi="Times New Roman" w:cs="Times New Roman" w:eastAsiaTheme="minorEastAsia"/>
          <w:lang w:eastAsia="zh-CN"/>
        </w:rPr>
        <w:t xml:space="preserve">         </w:t>
      </w:r>
      <w:r>
        <w:rPr>
          <w:rFonts w:hint="eastAsia" w:ascii="Times New Roman" w:hAnsi="Times New Roman" w:cs="Times New Roman" w:eastAsiaTheme="minorEastAsia"/>
          <w:lang w:eastAsia="zh-CN"/>
        </w:rPr>
        <w:t xml:space="preserve">      （</w:t>
      </w:r>
      <w:r>
        <w:rPr>
          <w:rFonts w:ascii="Times New Roman" w:hAnsi="Times New Roman" w:cs="Times New Roman" w:eastAsiaTheme="minorEastAsia"/>
          <w:lang w:eastAsia="zh-CN"/>
        </w:rPr>
        <w:t>F.2</w:t>
      </w:r>
      <w:r>
        <w:rPr>
          <w:rFonts w:hint="eastAsia" w:ascii="Times New Roman" w:hAnsi="Times New Roman" w:cs="Times New Roman" w:eastAsiaTheme="minorEastAsia"/>
          <w:lang w:eastAsia="zh-CN"/>
        </w:rPr>
        <w:t>）</w:t>
      </w:r>
    </w:p>
    <w:p>
      <w:pPr>
        <w:pStyle w:val="3"/>
        <w:spacing w:before="75" w:line="230"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 xml:space="preserve">    生命周期各阶段不确定度：</w:t>
      </w:r>
    </w:p>
    <w:p>
      <w:pPr>
        <w:pStyle w:val="3"/>
        <w:spacing w:before="75" w:line="230" w:lineRule="auto"/>
        <w:jc w:val="center"/>
        <w:outlineLvl w:val="0"/>
        <w:rPr>
          <w:rFonts w:ascii="Times New Roman" w:hAnsi="Times New Roman" w:cs="Times New Roman" w:eastAsiaTheme="minorEastAsia"/>
        </w:rPr>
      </w:pPr>
      <w:r>
        <w:rPr>
          <w:rFonts w:hint="eastAsia" w:ascii="Times New Roman" w:hAnsi="Times New Roman" w:cs="Times New Roman" w:eastAsiaTheme="minorEastAsia"/>
          <w:lang w:eastAsia="zh-CN"/>
        </w:rPr>
        <w:t xml:space="preserve">                           </w:t>
      </w:r>
      <m:oMath>
        <m:sSub>
          <m:sSubPr>
            <m:ctrlPr>
              <w:rPr>
                <w:rFonts w:ascii="Cambria Math" w:hAnsi="Cambria Math" w:cs="Times New Roman" w:eastAsiaTheme="minorEastAsia"/>
                <w:i/>
              </w:rPr>
            </m:ctrlPr>
          </m:sSubPr>
          <m:e>
            <m:r>
              <m:rPr/>
              <w:rPr>
                <w:rFonts w:ascii="Cambria Math" w:hAnsi="Cambria Math" w:cs="Times New Roman" w:eastAsiaTheme="minorEastAsia"/>
              </w:rPr>
              <m:t>u</m:t>
            </m:r>
            <m:ctrlPr>
              <w:rPr>
                <w:rFonts w:ascii="Cambria Math" w:hAnsi="Cambria Math" w:cs="Times New Roman" w:eastAsiaTheme="minorEastAsia"/>
                <w:i/>
              </w:rPr>
            </m:ctrlPr>
          </m:e>
          <m:sub>
            <m:r>
              <m:rPr/>
              <w:rPr>
                <w:rFonts w:ascii="Cambria Math" w:hAnsi="Cambria Math" w:cs="Times New Roman" w:eastAsiaTheme="minorEastAsia"/>
              </w:rPr>
              <m:t>ci</m:t>
            </m:r>
            <m:ctrlPr>
              <w:rPr>
                <w:rFonts w:ascii="Cambria Math" w:hAnsi="Cambria Math" w:cs="Times New Roman" w:eastAsiaTheme="minorEastAsia"/>
                <w:i/>
              </w:rPr>
            </m:ctrlPr>
          </m:sub>
        </m:sSub>
        <m:r>
          <m:rPr/>
          <w:rPr>
            <w:rFonts w:ascii="Cambria Math" w:hAnsi="Cambria Math" w:cs="Times New Roman" w:eastAsiaTheme="minorEastAsia"/>
          </w:rPr>
          <m:t>=</m:t>
        </m:r>
        <m:rad>
          <m:radPr>
            <m:degHide m:val="true"/>
            <m:ctrlPr>
              <w:rPr>
                <w:rFonts w:ascii="Cambria Math" w:hAnsi="Cambria Math" w:cs="Times New Roman" w:eastAsiaTheme="minorEastAsia"/>
                <w:i/>
              </w:rPr>
            </m:ctrlPr>
          </m:radPr>
          <m:deg>
            <m:ctrlPr>
              <w:rPr>
                <w:rFonts w:ascii="Cambria Math" w:hAnsi="Cambria Math" w:cs="Times New Roman" w:eastAsiaTheme="minorEastAsia"/>
                <w:i/>
              </w:rPr>
            </m:ctrlPr>
          </m:deg>
          <m:e>
            <m:sSup>
              <m:sSupPr>
                <m:ctrlPr>
                  <w:rPr>
                    <w:rFonts w:ascii="Cambria Math" w:hAnsi="Cambria Math" w:cs="Times New Roman" w:eastAsiaTheme="minorEastAsia"/>
                    <w:i/>
                  </w:rPr>
                </m:ctrlPr>
              </m:sSupPr>
              <m:e>
                <m:r>
                  <m:rPr/>
                  <w:rPr>
                    <w:rFonts w:ascii="Cambria Math" w:hAnsi="Cambria Math" w:cs="Times New Roman" w:eastAsiaTheme="minorEastAsia"/>
                  </w:rPr>
                  <m:t>(</m:t>
                </m:r>
                <m:sSub>
                  <m:sSubPr>
                    <m:ctrlPr>
                      <w:rPr>
                        <w:rFonts w:ascii="Cambria Math" w:hAnsi="Cambria Math" w:cs="Times New Roman" w:eastAsiaTheme="minorEastAsia"/>
                        <w:i/>
                      </w:rPr>
                    </m:ctrlPr>
                  </m:sSubPr>
                  <m:e>
                    <m:r>
                      <m:rPr/>
                      <w:rPr>
                        <w:rFonts w:ascii="Cambria Math" w:hAnsi="Cambria Math" w:cs="Times New Roman" w:eastAsiaTheme="minorEastAsia"/>
                      </w:rPr>
                      <m:t>u</m:t>
                    </m:r>
                    <m:ctrlPr>
                      <w:rPr>
                        <w:rFonts w:ascii="Cambria Math" w:hAnsi="Cambria Math" w:cs="Times New Roman" w:eastAsiaTheme="minorEastAsia"/>
                        <w:i/>
                      </w:rPr>
                    </m:ctrlPr>
                  </m:e>
                  <m:sub>
                    <m:r>
                      <m:rPr/>
                      <w:rPr>
                        <w:rFonts w:ascii="Cambria Math" w:hAnsi="Cambria Math" w:cs="Times New Roman" w:eastAsiaTheme="minorEastAsia"/>
                      </w:rPr>
                      <m:t>ci</m:t>
                    </m:r>
                    <m:r>
                      <m:rPr>
                        <m:sty m:val="p"/>
                      </m:rPr>
                      <w:rPr>
                        <w:rFonts w:ascii="Cambria Math" w:hAnsi="Cambria Math" w:cs="Times New Roman" w:eastAsiaTheme="minorEastAsia"/>
                      </w:rPr>
                      <m:t>直接测量</m:t>
                    </m:r>
                    <m:ctrlPr>
                      <w:rPr>
                        <w:rFonts w:ascii="Cambria Math" w:hAnsi="Cambria Math" w:cs="Times New Roman" w:eastAsiaTheme="minorEastAsia"/>
                        <w:i/>
                      </w:rPr>
                    </m:ctrlPr>
                  </m:sub>
                </m:sSub>
                <m:r>
                  <m:rPr/>
                  <w:rPr>
                    <w:rFonts w:ascii="Cambria Math" w:hAnsi="Cambria Math" w:cs="Times New Roman" w:eastAsiaTheme="minorEastAsia"/>
                  </w:rPr>
                  <m:t>)</m:t>
                </m:r>
                <m:ctrlPr>
                  <w:rPr>
                    <w:rFonts w:ascii="Cambria Math" w:hAnsi="Cambria Math" w:cs="Times New Roman" w:eastAsiaTheme="minorEastAsia"/>
                    <w:i/>
                  </w:rPr>
                </m:ctrlPr>
              </m:e>
              <m:sup>
                <m:r>
                  <m:rPr/>
                  <w:rPr>
                    <w:rFonts w:ascii="Cambria Math" w:hAnsi="Cambria Math" w:cs="Times New Roman" w:eastAsiaTheme="minorEastAsia"/>
                  </w:rPr>
                  <m:t>2</m:t>
                </m:r>
                <m:ctrlPr>
                  <w:rPr>
                    <w:rFonts w:ascii="Cambria Math" w:hAnsi="Cambria Math" w:cs="Times New Roman" w:eastAsiaTheme="minorEastAsia"/>
                    <w:i/>
                  </w:rPr>
                </m:ctrlPr>
              </m:sup>
            </m:sSup>
            <m:r>
              <m:rPr/>
              <w:rPr>
                <w:rFonts w:ascii="Cambria Math" w:hAnsi="Cambria Math" w:cs="Times New Roman" w:eastAsiaTheme="minorEastAsia"/>
              </w:rPr>
              <m:t>+</m:t>
            </m:r>
            <m:sSup>
              <m:sSupPr>
                <m:ctrlPr>
                  <w:rPr>
                    <w:rFonts w:ascii="Cambria Math" w:hAnsi="Cambria Math" w:cs="Times New Roman" w:eastAsiaTheme="minorEastAsia"/>
                    <w:i/>
                  </w:rPr>
                </m:ctrlPr>
              </m:sSupPr>
              <m:e>
                <m:r>
                  <m:rPr/>
                  <w:rPr>
                    <w:rFonts w:ascii="Cambria Math" w:hAnsi="Cambria Math" w:cs="Times New Roman" w:eastAsiaTheme="minorEastAsia"/>
                  </w:rPr>
                  <m:t>(</m:t>
                </m:r>
                <m:sSub>
                  <m:sSubPr>
                    <m:ctrlPr>
                      <w:rPr>
                        <w:rFonts w:ascii="Cambria Math" w:hAnsi="Cambria Math" w:cs="Times New Roman" w:eastAsiaTheme="minorEastAsia"/>
                        <w:i/>
                      </w:rPr>
                    </m:ctrlPr>
                  </m:sSubPr>
                  <m:e>
                    <m:r>
                      <m:rPr/>
                      <w:rPr>
                        <w:rFonts w:ascii="Cambria Math" w:hAnsi="Cambria Math" w:cs="Times New Roman" w:eastAsiaTheme="minorEastAsia"/>
                      </w:rPr>
                      <m:t>u</m:t>
                    </m:r>
                    <m:ctrlPr>
                      <w:rPr>
                        <w:rFonts w:ascii="Cambria Math" w:hAnsi="Cambria Math" w:cs="Times New Roman" w:eastAsiaTheme="minorEastAsia"/>
                        <w:i/>
                      </w:rPr>
                    </m:ctrlPr>
                  </m:e>
                  <m:sub>
                    <m:r>
                      <m:rPr/>
                      <w:rPr>
                        <w:rFonts w:ascii="Cambria Math" w:hAnsi="Cambria Math" w:cs="Times New Roman" w:eastAsiaTheme="minorEastAsia"/>
                      </w:rPr>
                      <m:t>ci</m:t>
                    </m:r>
                    <m:r>
                      <m:rPr>
                        <m:sty m:val="p"/>
                      </m:rPr>
                      <w:rPr>
                        <w:rFonts w:ascii="Cambria Math" w:hAnsi="Cambria Math" w:cs="Times New Roman" w:eastAsiaTheme="minorEastAsia"/>
                      </w:rPr>
                      <m:t>缺省值</m:t>
                    </m:r>
                    <m:ctrlPr>
                      <w:rPr>
                        <w:rFonts w:ascii="Cambria Math" w:hAnsi="Cambria Math" w:cs="Times New Roman" w:eastAsiaTheme="minorEastAsia"/>
                        <w:i/>
                      </w:rPr>
                    </m:ctrlPr>
                  </m:sub>
                </m:sSub>
                <m:r>
                  <m:rPr/>
                  <w:rPr>
                    <w:rFonts w:ascii="Cambria Math" w:hAnsi="Cambria Math" w:cs="Times New Roman" w:eastAsiaTheme="minorEastAsia"/>
                  </w:rPr>
                  <m:t>)</m:t>
                </m:r>
                <m:ctrlPr>
                  <w:rPr>
                    <w:rFonts w:ascii="Cambria Math" w:hAnsi="Cambria Math" w:cs="Times New Roman" w:eastAsiaTheme="minorEastAsia"/>
                    <w:i/>
                  </w:rPr>
                </m:ctrlPr>
              </m:e>
              <m:sup>
                <m:r>
                  <m:rPr/>
                  <w:rPr>
                    <w:rFonts w:ascii="Cambria Math" w:hAnsi="Cambria Math" w:cs="Times New Roman" w:eastAsiaTheme="minorEastAsia"/>
                  </w:rPr>
                  <m:t>2</m:t>
                </m:r>
                <m:ctrlPr>
                  <w:rPr>
                    <w:rFonts w:ascii="Cambria Math" w:hAnsi="Cambria Math" w:cs="Times New Roman" w:eastAsiaTheme="minorEastAsia"/>
                    <w:i/>
                  </w:rPr>
                </m:ctrlPr>
              </m:sup>
            </m:sSup>
            <m:ctrlPr>
              <w:rPr>
                <w:rFonts w:ascii="Cambria Math" w:hAnsi="Cambria Math" w:cs="Times New Roman" w:eastAsiaTheme="minorEastAsia"/>
                <w:i/>
              </w:rPr>
            </m:ctrlPr>
          </m:e>
        </m:rad>
      </m:oMath>
      <w:r>
        <w:rPr>
          <w:rFonts w:ascii="Times New Roman" w:hAnsi="Times New Roman" w:cs="Times New Roman" w:eastAsiaTheme="minorEastAsia"/>
        </w:rPr>
        <w:t xml:space="preserve">                               </w:t>
      </w:r>
      <w:r>
        <w:rPr>
          <w:rFonts w:hint="eastAsia" w:ascii="Times New Roman" w:hAnsi="Times New Roman" w:cs="Times New Roman" w:eastAsiaTheme="minorEastAsia"/>
          <w:lang w:eastAsia="zh-CN"/>
        </w:rPr>
        <w:t>（</w:t>
      </w:r>
      <w:r>
        <w:rPr>
          <w:rFonts w:ascii="Times New Roman" w:hAnsi="Times New Roman" w:cs="Times New Roman" w:eastAsiaTheme="minorEastAsia"/>
          <w:lang w:eastAsia="zh-CN"/>
        </w:rPr>
        <w:t>F.3</w:t>
      </w:r>
      <w:r>
        <w:rPr>
          <w:rFonts w:hint="eastAsia" w:ascii="Times New Roman" w:hAnsi="Times New Roman" w:cs="Times New Roman" w:eastAsiaTheme="minorEastAsia"/>
          <w:lang w:eastAsia="zh-CN"/>
        </w:rPr>
        <w:t>）</w:t>
      </w:r>
    </w:p>
    <w:p>
      <w:pPr>
        <w:pStyle w:val="3"/>
        <w:spacing w:before="75" w:line="230" w:lineRule="auto"/>
        <w:jc w:val="left"/>
        <w:outlineLvl w:val="0"/>
        <w:rPr>
          <w:rFonts w:ascii="Times New Roman" w:hAnsi="Times New Roman" w:cs="Times New Roman" w:eastAsiaTheme="minorEastAsia"/>
          <w:lang w:eastAsia="zh-CN"/>
        </w:rPr>
      </w:pPr>
      <w:r>
        <w:rPr>
          <w:rFonts w:ascii="Times New Roman" w:hAnsi="Times New Roman" w:cs="Times New Roman" w:eastAsiaTheme="minorEastAsia"/>
          <w:lang w:eastAsia="zh-CN"/>
        </w:rPr>
        <w:t xml:space="preserve">    扩展不确定度：</w:t>
      </w:r>
    </w:p>
    <w:p>
      <w:pPr>
        <w:pStyle w:val="3"/>
        <w:spacing w:before="75" w:line="230" w:lineRule="auto"/>
        <w:jc w:val="center"/>
        <w:outlineLvl w:val="0"/>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                                     </w:t>
      </w: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m:sty m:val="p"/>
              </m:rPr>
              <w:rPr>
                <w:rFonts w:ascii="Cambria Math" w:hAnsi="Cambria Math" w:cs="Times New Roman" w:eastAsiaTheme="minorEastAsia"/>
                <w:lang w:eastAsia="zh-CN"/>
              </w:rPr>
              <m:t>轮胎</m:t>
            </m:r>
            <m:ctrlPr>
              <w:rPr>
                <w:rFonts w:ascii="Cambria Math" w:hAnsi="Cambria Math" w:cs="Times New Roman" w:eastAsiaTheme="minorEastAsia"/>
                <w:i/>
              </w:rPr>
            </m:ctrlPr>
          </m:sub>
        </m:sSub>
        <m:r>
          <m:rPr/>
          <w:rPr>
            <w:rFonts w:ascii="Cambria Math" w:hAnsi="Cambria Math" w:cs="Times New Roman" w:eastAsiaTheme="minorEastAsia"/>
            <w:lang w:eastAsia="zh-CN"/>
          </w:rPr>
          <m:t>=</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ku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轮胎</m:t>
            </m:r>
            <m:ctrlPr>
              <w:rPr>
                <w:rFonts w:ascii="Cambria Math" w:hAnsi="Cambria Math" w:cs="Times New Roman" w:eastAsiaTheme="minorEastAsia"/>
                <w:i/>
              </w:rPr>
            </m:ctrlPr>
          </m:sub>
        </m:sSub>
      </m:oMath>
      <w:r>
        <w:rPr>
          <w:rFonts w:ascii="Times New Roman" w:hAnsi="Times New Roman" w:cs="Times New Roman" w:eastAsiaTheme="minorEastAsia"/>
          <w:lang w:eastAsia="zh-CN"/>
        </w:rPr>
        <w:t xml:space="preserve">           </w:t>
      </w:r>
      <w:r>
        <w:rPr>
          <w:rFonts w:hint="eastAsia" w:ascii="Times New Roman" w:hAnsi="Times New Roman" w:cs="Times New Roman" w:eastAsiaTheme="minorEastAsia"/>
          <w:lang w:eastAsia="zh-CN"/>
        </w:rPr>
        <w:t xml:space="preserve">              </w:t>
      </w:r>
      <w:r>
        <w:rPr>
          <w:rFonts w:ascii="Times New Roman" w:hAnsi="Times New Roman" w:cs="Times New Roman" w:eastAsiaTheme="minorEastAsia"/>
          <w:lang w:eastAsia="zh-CN"/>
        </w:rPr>
        <w:t xml:space="preserve">           </w:t>
      </w:r>
      <w:r>
        <w:rPr>
          <w:rFonts w:hint="eastAsia" w:ascii="Times New Roman" w:hAnsi="Times New Roman" w:cs="Times New Roman" w:eastAsiaTheme="minorEastAsia"/>
          <w:lang w:eastAsia="zh-CN"/>
        </w:rPr>
        <w:t>（</w:t>
      </w:r>
      <w:r>
        <w:rPr>
          <w:rFonts w:ascii="Times New Roman" w:hAnsi="Times New Roman" w:cs="Times New Roman" w:eastAsiaTheme="minorEastAsia"/>
          <w:lang w:eastAsia="zh-CN"/>
        </w:rPr>
        <w:t>F.4</w:t>
      </w:r>
      <w:r>
        <w:rPr>
          <w:rFonts w:hint="eastAsia" w:ascii="Times New Roman" w:hAnsi="Times New Roman" w:cs="Times New Roman" w:eastAsiaTheme="minorEastAsia"/>
          <w:lang w:eastAsia="zh-CN"/>
        </w:rPr>
        <w:t>）</w:t>
      </w:r>
    </w:p>
    <w:p>
      <w:pPr>
        <w:spacing w:before="34" w:line="228" w:lineRule="auto"/>
        <w:ind w:left="470"/>
        <w:rPr>
          <w:rFonts w:ascii="Times New Roman" w:hAnsi="Times New Roman" w:cs="Times New Roman"/>
          <w:szCs w:val="21"/>
        </w:rPr>
      </w:pPr>
      <w:r>
        <w:rPr>
          <w:rFonts w:ascii="Times New Roman" w:hAnsi="Times New Roman" w:cs="Times New Roman"/>
          <w:spacing w:val="1"/>
          <w:szCs w:val="21"/>
        </w:rPr>
        <w:t>式中：</w:t>
      </w:r>
    </w:p>
    <w:p>
      <w:pPr>
        <w:pStyle w:val="3"/>
        <w:spacing w:before="75" w:line="230" w:lineRule="auto"/>
        <w:ind w:firstLine="420" w:firstLineChars="200"/>
        <w:jc w:val="left"/>
        <w:outlineLvl w:val="0"/>
        <w:rPr>
          <w:rFonts w:ascii="Times New Roman" w:hAnsi="Times New Roman" w:cs="Times New Roman" w:eastAsiaTheme="minorEastAsia"/>
          <w:spacing w:val="9"/>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轮胎</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雪地轮胎全生命周期碳足迹不确定度，单位千克二氧化碳当</w:t>
      </w:r>
      <w:r>
        <w:rPr>
          <w:rFonts w:ascii="Times New Roman" w:hAnsi="Times New Roman" w:cs="Times New Roman" w:eastAsiaTheme="minorEastAsia"/>
          <w:kern w:val="0"/>
          <w:lang w:eastAsia="zh-CN"/>
        </w:rPr>
        <w:t>量（kgCO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spacing w:val="9"/>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材料</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材料获取阶段碳足迹不确定度，单位千克二氧化碳当</w:t>
      </w:r>
      <w:r>
        <w:rPr>
          <w:rFonts w:ascii="Times New Roman" w:hAnsi="Times New Roman" w:cs="Times New Roman" w:eastAsiaTheme="minorEastAsia"/>
          <w:kern w:val="0"/>
          <w:lang w:eastAsia="zh-CN"/>
        </w:rPr>
        <w:t>量（kgCO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生产</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雪地轮胎产品生产碳足迹不确定度，单位千克二氧化碳当量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分销</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雪地轮胎产品分销碳足迹不确定度，单位千克二氧化碳当</w:t>
      </w:r>
      <w:r>
        <w:rPr>
          <w:rFonts w:ascii="Times New Roman" w:hAnsi="Times New Roman" w:cs="Times New Roman" w:eastAsiaTheme="minorEastAsia"/>
          <w:kern w:val="0"/>
          <w:lang w:eastAsia="zh-CN"/>
        </w:rPr>
        <w:t>量（kgCO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u w:val="thick"/>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使用</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雪地轮胎产品使用碳足迹不确定度，单位千克二氧化碳当量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u w:val="thick"/>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m:t>
            </m:r>
            <m:r>
              <m:rPr>
                <m:sty m:val="p"/>
              </m:rPr>
              <w:rPr>
                <w:rFonts w:ascii="Cambria Math" w:hAnsi="Cambria Math" w:cs="Times New Roman" w:eastAsiaTheme="minorEastAsia"/>
                <w:lang w:eastAsia="zh-CN"/>
              </w:rPr>
              <m:t>废弃</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雪地轮胎产品废弃处理过程碳足迹不确定度，单位千克二氧化碳当量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u w:val="thick"/>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ci</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某阶段碳足迹不确定度，单位千克二氧化碳当量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u w:val="thick"/>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ci</m:t>
            </m:r>
            <m:r>
              <m:rPr>
                <m:sty m:val="p"/>
              </m:rPr>
              <w:rPr>
                <w:rFonts w:ascii="Cambria Math" w:hAnsi="Cambria Math" w:cs="Times New Roman" w:eastAsiaTheme="minorEastAsia"/>
                <w:lang w:eastAsia="zh-CN"/>
              </w:rPr>
              <m:t>直接测量</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——某</w:t>
      </w:r>
      <w:r>
        <w:rPr>
          <w:rFonts w:ascii="Times New Roman" w:hAnsi="Times New Roman" w:cs="Times New Roman" w:eastAsiaTheme="minorEastAsia"/>
          <w:lang w:eastAsia="zh-CN"/>
        </w:rPr>
        <w:t>阶段采用直接测量手段数据的碳足迹不确定度，来自于直接测量手段带来的重复性偏差，单位千克二氧化碳当量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ind w:firstLine="420" w:firstLineChars="200"/>
        <w:jc w:val="left"/>
        <w:outlineLvl w:val="0"/>
        <w:rPr>
          <w:rFonts w:ascii="Times New Roman" w:hAnsi="Times New Roman" w:cs="Times New Roman" w:eastAsiaTheme="minorEastAsia"/>
          <w:spacing w:val="9"/>
          <w:lang w:eastAsia="zh-CN"/>
        </w:rPr>
      </w:pP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ci</m:t>
            </m:r>
            <m:r>
              <m:rPr>
                <m:sty m:val="p"/>
              </m:rPr>
              <w:rPr>
                <w:rFonts w:ascii="Cambria Math" w:hAnsi="Cambria Math" w:cs="Times New Roman" w:eastAsiaTheme="minorEastAsia"/>
                <w:lang w:eastAsia="zh-CN"/>
              </w:rPr>
              <m:t>缺省值</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——某阶段采用</w:t>
      </w:r>
      <w:r>
        <w:rPr>
          <w:rFonts w:ascii="Times New Roman" w:hAnsi="Times New Roman" w:cs="Times New Roman" w:eastAsiaTheme="minorEastAsia"/>
          <w:lang w:eastAsia="zh-CN"/>
        </w:rPr>
        <w:t>缺省值数据的碳足迹不确定度，来自于文献数据或根据数据来源的时间、地域、行业代表性进行综合评估，单位千克二氧化碳当量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w:t>
      </w:r>
    </w:p>
    <w:p>
      <w:pPr>
        <w:pStyle w:val="3"/>
        <w:spacing w:before="75" w:line="230" w:lineRule="auto"/>
        <w:jc w:val="left"/>
        <w:outlineLvl w:val="0"/>
        <w:rPr>
          <w:rFonts w:ascii="Times New Roman" w:hAnsi="Times New Roman" w:cs="Times New Roman" w:eastAsiaTheme="minorEastAsia"/>
          <w:kern w:val="0"/>
          <w:lang w:eastAsia="zh-CN" w:bidi="ar"/>
        </w:rPr>
      </w:pPr>
      <w:r>
        <w:rPr>
          <w:rFonts w:ascii="Times New Roman" w:hAnsi="Times New Roman" w:cs="Times New Roman" w:eastAsiaTheme="minorEastAsia"/>
          <w:spacing w:val="9"/>
          <w:lang w:eastAsia="zh-CN"/>
        </w:rPr>
        <w:t xml:space="preserve">   </w:t>
      </w: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m:sty m:val="p"/>
              </m:rPr>
              <w:rPr>
                <w:rFonts w:ascii="Cambria Math" w:hAnsi="Cambria Math" w:cs="Times New Roman" w:eastAsiaTheme="minorEastAsia"/>
                <w:lang w:eastAsia="zh-CN"/>
              </w:rPr>
              <m:t>轮胎</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雪地轮胎产品的扩展不确定度，当置信概率 p=95%时，取包含因子 k=2；单位千克二氧化碳当量</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kern w:val="0"/>
          <w:lang w:eastAsia="zh-CN" w:bidi="ar"/>
        </w:rPr>
        <w:t>。</w:t>
      </w:r>
    </w:p>
    <w:p>
      <w:pPr>
        <w:pStyle w:val="3"/>
        <w:spacing w:before="75" w:line="230" w:lineRule="auto"/>
        <w:ind w:firstLine="420"/>
        <w:jc w:val="left"/>
        <w:outlineLvl w:val="0"/>
        <w:rPr>
          <w:rFonts w:ascii="Times New Roman" w:hAnsi="Cambria Math" w:cs="Times New Roman" w:eastAsiaTheme="minorEastAsia"/>
          <w:lang w:eastAsia="zh-CN"/>
        </w:rPr>
      </w:pPr>
      <w:r>
        <w:rPr>
          <w:rFonts w:ascii="Times New Roman" w:hAnsi="Times New Roman" w:cs="Times New Roman" w:eastAsiaTheme="minorEastAsia"/>
          <w:spacing w:val="9"/>
          <w:lang w:eastAsia="zh-CN"/>
        </w:rPr>
        <w:t>某阶段采用缺省值数据的碳足迹不确定度</w:t>
      </w: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ci</m:t>
            </m:r>
            <m:r>
              <m:rPr>
                <m:sty m:val="p"/>
              </m:rPr>
              <w:rPr>
                <w:rFonts w:ascii="Cambria Math" w:hAnsi="Cambria Math" w:cs="Times New Roman" w:eastAsiaTheme="minorEastAsia"/>
                <w:lang w:eastAsia="zh-CN"/>
              </w:rPr>
              <m:t>缺省值</m:t>
            </m:r>
            <m:ctrlPr>
              <w:rPr>
                <w:rFonts w:ascii="Cambria Math" w:hAnsi="Cambria Math" w:cs="Times New Roman" w:eastAsiaTheme="minorEastAsia"/>
                <w:i/>
              </w:rPr>
            </m:ctrlPr>
          </m:sub>
        </m:sSub>
      </m:oMath>
      <w:r>
        <w:rPr>
          <w:rFonts w:ascii="Times New Roman" w:hAnsi="Cambria Math" w:cs="Times New Roman" w:eastAsiaTheme="minorEastAsia"/>
          <w:lang w:eastAsia="zh-CN"/>
        </w:rPr>
        <w:t>可以通过</w:t>
      </w:r>
      <w:r>
        <w:rPr>
          <w:rFonts w:ascii="宋体" w:hAnsi="宋体" w:eastAsia="宋体" w:cs="宋体"/>
          <w:spacing w:val="8"/>
          <w:lang w:eastAsia="zh-CN"/>
        </w:rPr>
        <w:t>数据质量等级</w:t>
      </w:r>
      <w:r>
        <w:rPr>
          <w:rFonts w:ascii="Times New Roman" w:hAnsi="Cambria Math" w:cs="Times New Roman" w:eastAsiaTheme="minorEastAsia"/>
          <w:lang w:eastAsia="zh-CN"/>
        </w:rPr>
        <w:t>DQR进行估算，计算公式如下：</w:t>
      </w:r>
    </w:p>
    <w:p>
      <w:pPr>
        <w:pStyle w:val="3"/>
        <w:spacing w:before="75" w:line="230" w:lineRule="auto"/>
        <w:ind w:firstLine="3885" w:firstLineChars="1850"/>
        <w:jc w:val="left"/>
        <w:outlineLvl w:val="0"/>
        <w:rPr>
          <w:rFonts w:ascii="Cambria Math" w:hAnsi="Cambria Math" w:cs="Times New Roman" w:eastAsiaTheme="minorEastAsia"/>
          <w:lang w:eastAsia="zh-CN"/>
        </w:rPr>
      </w:pPr>
      <m:oMath>
        <m:r>
          <m:rPr/>
          <w:rPr>
            <w:rFonts w:ascii="Cambria Math" w:hAnsi="Cambria Math" w:cs="Times New Roman" w:eastAsiaTheme="minorEastAsia"/>
          </w:rPr>
          <m:t xml:space="preserve"> </m:t>
        </m:r>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u</m:t>
            </m:r>
            <m:ctrlPr>
              <w:rPr>
                <w:rFonts w:ascii="Cambria Math" w:hAnsi="Cambria Math" w:cs="Times New Roman" w:eastAsiaTheme="minorEastAsia"/>
                <w:i/>
              </w:rPr>
            </m:ctrlPr>
          </m:e>
          <m:sub>
            <m:r>
              <m:rPr/>
              <w:rPr>
                <w:rFonts w:ascii="Cambria Math" w:hAnsi="Cambria Math" w:cs="Times New Roman" w:eastAsiaTheme="minorEastAsia"/>
                <w:lang w:eastAsia="zh-CN"/>
              </w:rPr>
              <m:t>ci</m:t>
            </m:r>
            <m:r>
              <m:rPr>
                <m:sty m:val="p"/>
              </m:rPr>
              <w:rPr>
                <w:rFonts w:ascii="Cambria Math" w:hAnsi="Cambria Math" w:cs="Times New Roman" w:eastAsiaTheme="minorEastAsia"/>
                <w:lang w:eastAsia="zh-CN"/>
              </w:rPr>
              <m:t>缺省值</m:t>
            </m:r>
            <m:ctrlPr>
              <w:rPr>
                <w:rFonts w:ascii="Cambria Math" w:hAnsi="Cambria Math" w:cs="Times New Roman" w:eastAsiaTheme="minorEastAsia"/>
                <w:i/>
              </w:rPr>
            </m:ctrlPr>
          </m:sub>
        </m:sSub>
        <m:r>
          <m:rPr/>
          <w:rPr>
            <w:rFonts w:ascii="Cambria Math" w:hAnsi="Cambria Math" w:cs="Times New Roman" w:eastAsiaTheme="minorEastAsia"/>
            <w:lang w:eastAsia="zh-CN"/>
          </w:rPr>
          <m:t>=</m:t>
        </m:r>
        <m:f>
          <m:fPr>
            <m:ctrlPr>
              <w:rPr>
                <w:rFonts w:ascii="Cambria Math" w:hAnsi="Cambria Math" w:cs="Times New Roman" w:eastAsiaTheme="minorEastAsia"/>
                <w:i/>
              </w:rPr>
            </m:ctrlPr>
          </m:fPr>
          <m:num>
            <m:r>
              <m:rPr/>
              <w:rPr>
                <w:rFonts w:ascii="Cambria Math" w:hAnsi="Cambria Math" w:cs="Times New Roman" w:eastAsiaTheme="minorEastAsia"/>
                <w:lang w:eastAsia="zh-CN"/>
              </w:rPr>
              <m:t>DQR</m:t>
            </m:r>
            <m:ctrlPr>
              <w:rPr>
                <w:rFonts w:ascii="Cambria Math" w:hAnsi="Cambria Math" w:cs="Times New Roman" w:eastAsiaTheme="minorEastAsia"/>
                <w:i/>
              </w:rPr>
            </m:ctrlPr>
          </m:num>
          <m:den>
            <m:r>
              <m:rPr/>
              <w:rPr>
                <w:rFonts w:ascii="Cambria Math" w:hAnsi="Cambria Math" w:cs="Times New Roman" w:eastAsiaTheme="minorEastAsia"/>
                <w:lang w:eastAsia="zh-CN"/>
              </w:rPr>
              <m:t>5</m:t>
            </m:r>
            <m:ctrlPr>
              <w:rPr>
                <w:rFonts w:ascii="Cambria Math" w:hAnsi="Cambria Math" w:cs="Times New Roman" w:eastAsiaTheme="minorEastAsia"/>
                <w:i/>
              </w:rPr>
            </m:ctrlPr>
          </m:den>
        </m:f>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M</m:t>
            </m:r>
            <m:ctrlPr>
              <w:rPr>
                <w:rFonts w:ascii="Cambria Math" w:hAnsi="Cambria Math" w:cs="Times New Roman" w:eastAsiaTheme="minorEastAsia"/>
                <w:i/>
              </w:rPr>
            </m:ctrlPr>
          </m:e>
          <m:sub>
            <m:r>
              <m:rPr/>
              <w:rPr>
                <w:rFonts w:ascii="Cambria Math" w:hAnsi="Cambria Math" w:cs="Times New Roman" w:eastAsiaTheme="minorEastAsia"/>
                <w:lang w:eastAsia="zh-CN"/>
              </w:rPr>
              <m:t>i</m:t>
            </m:r>
            <m:ctrlPr>
              <w:rPr>
                <w:rFonts w:ascii="Cambria Math" w:hAnsi="Cambria Math" w:cs="Times New Roman" w:eastAsiaTheme="minorEastAsia"/>
                <w:i/>
              </w:rPr>
            </m:ctrlPr>
          </m:sub>
        </m:sSub>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EF</m:t>
            </m:r>
            <m:ctrlPr>
              <w:rPr>
                <w:rFonts w:ascii="Cambria Math" w:hAnsi="Cambria Math" w:cs="Times New Roman" w:eastAsiaTheme="minorEastAsia"/>
                <w:i/>
              </w:rPr>
            </m:ctrlPr>
          </m:e>
          <m:sub>
            <m:r>
              <m:rPr/>
              <w:rPr>
                <w:rFonts w:ascii="Cambria Math" w:hAnsi="Cambria Math" w:cs="Times New Roman" w:eastAsiaTheme="minorEastAsia"/>
                <w:lang w:eastAsia="zh-CN"/>
              </w:rPr>
              <m:t>i</m:t>
            </m:r>
            <m:ctrlPr>
              <w:rPr>
                <w:rFonts w:ascii="Cambria Math" w:hAnsi="Cambria Math" w:cs="Times New Roman" w:eastAsiaTheme="minorEastAsia"/>
                <w:i/>
              </w:rPr>
            </m:ctrlPr>
          </m:sub>
        </m:sSub>
      </m:oMath>
      <w:r>
        <w:rPr>
          <w:rFonts w:hint="eastAsia" w:ascii="Cambria Math" w:hAnsi="Cambria Math" w:cs="Times New Roman" w:eastAsiaTheme="minorEastAsia"/>
          <w:lang w:eastAsia="zh-CN"/>
        </w:rPr>
        <w:t xml:space="preserve">                              </w:t>
      </w:r>
      <w:r>
        <w:rPr>
          <w:rFonts w:hint="eastAsia" w:ascii="Times New Roman" w:hAnsi="Times New Roman" w:cs="Times New Roman" w:eastAsiaTheme="minorEastAsia"/>
          <w:lang w:eastAsia="zh-CN"/>
        </w:rPr>
        <w:t>（</w:t>
      </w:r>
      <w:r>
        <w:rPr>
          <w:rFonts w:ascii="Times New Roman" w:hAnsi="Times New Roman" w:cs="Times New Roman" w:eastAsiaTheme="minorEastAsia"/>
          <w:lang w:eastAsia="zh-CN"/>
        </w:rPr>
        <w:t>F.5</w:t>
      </w:r>
      <w:r>
        <w:rPr>
          <w:rFonts w:hint="eastAsia" w:ascii="Times New Roman" w:hAnsi="Times New Roman" w:cs="Times New Roman" w:eastAsiaTheme="minorEastAsia"/>
          <w:lang w:eastAsia="zh-CN"/>
        </w:rPr>
        <w:t>）</w:t>
      </w:r>
    </w:p>
    <w:p>
      <w:pPr>
        <w:spacing w:before="34" w:line="228" w:lineRule="auto"/>
        <w:ind w:left="470"/>
        <w:rPr>
          <w:rFonts w:ascii="Times New Roman" w:hAnsi="Times New Roman" w:cs="Times New Roman"/>
          <w:szCs w:val="21"/>
        </w:rPr>
      </w:pPr>
      <w:r>
        <w:rPr>
          <w:rFonts w:ascii="Times New Roman" w:hAnsi="Times New Roman" w:cs="Times New Roman"/>
          <w:spacing w:val="1"/>
          <w:szCs w:val="21"/>
        </w:rPr>
        <w:t>式中：</w:t>
      </w:r>
    </w:p>
    <w:p>
      <w:pPr>
        <w:pStyle w:val="3"/>
        <w:spacing w:before="75" w:line="230" w:lineRule="auto"/>
        <w:jc w:val="left"/>
        <w:outlineLvl w:val="0"/>
        <w:rPr>
          <w:rFonts w:hAnsi="DejaVu Math TeX Gyre" w:cs="Times New Roman" w:eastAsiaTheme="minorEastAsia"/>
          <w:lang w:eastAsia="zh-CN"/>
        </w:rPr>
      </w:pPr>
      <w:r>
        <w:rPr>
          <w:rFonts w:ascii="Times New Roman" w:hAnsi="Times New Roman" w:cs="Times New Roman" w:eastAsiaTheme="minorEastAsia"/>
          <w:kern w:val="0"/>
          <w:lang w:eastAsia="zh-CN" w:bidi="ar"/>
        </w:rPr>
        <w:t xml:space="preserve">    </w:t>
      </w: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M</m:t>
            </m:r>
            <m:ctrlPr>
              <w:rPr>
                <w:rFonts w:ascii="Cambria Math" w:hAnsi="Cambria Math" w:cs="Times New Roman" w:eastAsiaTheme="minorEastAsia"/>
                <w:i/>
              </w:rPr>
            </m:ctrlPr>
          </m:e>
          <m:sub>
            <m:r>
              <m:rPr/>
              <w:rPr>
                <w:rFonts w:ascii="Cambria Math" w:hAnsi="Cambria Math" w:cs="Times New Roman" w:eastAsiaTheme="minorEastAsia"/>
                <w:lang w:eastAsia="zh-CN"/>
              </w:rPr>
              <m:t>i</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某阶段缺省值</w:t>
      </w:r>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单位与该阶段的计量单位</w:t>
      </w:r>
      <w:r>
        <w:rPr>
          <w:rFonts w:ascii="Times New Roman" w:hAnsi="Times New Roman" w:cs="Times New Roman" w:eastAsiaTheme="minorEastAsia"/>
          <w:spacing w:val="9"/>
          <w:lang w:eastAsia="zh-CN"/>
        </w:rPr>
        <w:t>（a</w:t>
      </w:r>
      <w:r>
        <w:rPr>
          <w:rFonts w:ascii="Times New Roman" w:hAnsi="Times New Roman" w:cs="Times New Roman" w:eastAsiaTheme="minorEastAsia"/>
          <w:spacing w:val="9"/>
          <w:vertAlign w:val="subscript"/>
          <w:lang w:eastAsia="zh-CN"/>
        </w:rPr>
        <w:t>i</w:t>
      </w:r>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保持一致</w:t>
      </w:r>
      <w:r>
        <w:rPr>
          <w:rFonts w:ascii="Times New Roman" w:hAnsi="Times New Roman" w:cs="Times New Roman" w:eastAsiaTheme="minorEastAsia"/>
          <w:spacing w:val="9"/>
          <w:lang w:eastAsia="zh-CN"/>
        </w:rPr>
        <w:t>；</w:t>
      </w:r>
    </w:p>
    <w:p>
      <w:pPr>
        <w:pStyle w:val="3"/>
        <w:spacing w:before="75" w:line="230" w:lineRule="auto"/>
        <w:jc w:val="left"/>
        <w:outlineLvl w:val="0"/>
        <w:rPr>
          <w:rFonts w:hAnsi="DejaVu Math TeX Gyre" w:cs="Times New Roman" w:eastAsiaTheme="minorEastAsia"/>
          <w:lang w:eastAsia="zh-CN"/>
        </w:rPr>
      </w:pPr>
      <w:r>
        <w:rPr>
          <w:rFonts w:hAnsi="DejaVu Math TeX Gyre" w:cs="Times New Roman" w:eastAsiaTheme="minorEastAsia"/>
          <w:lang w:eastAsia="zh-CN"/>
        </w:rPr>
        <w:t xml:space="preserve">    </w:t>
      </w:r>
      <m:oMath>
        <m:sSub>
          <m:sSubPr>
            <m:ctrlPr>
              <w:rPr>
                <w:rFonts w:ascii="Cambria Math" w:hAnsi="Cambria Math" w:cs="Times New Roman" w:eastAsiaTheme="minorEastAsia"/>
                <w:i/>
              </w:rPr>
            </m:ctrlPr>
          </m:sSubPr>
          <m:e>
            <m:r>
              <m:rPr/>
              <w:rPr>
                <w:rFonts w:ascii="Cambria Math" w:hAnsi="Cambria Math" w:cs="Times New Roman" w:eastAsiaTheme="minorEastAsia"/>
                <w:lang w:eastAsia="zh-CN"/>
              </w:rPr>
              <m:t>EF</m:t>
            </m:r>
            <m:ctrlPr>
              <w:rPr>
                <w:rFonts w:ascii="Cambria Math" w:hAnsi="Cambria Math" w:cs="Times New Roman" w:eastAsiaTheme="minorEastAsia"/>
                <w:i/>
              </w:rPr>
            </m:ctrlPr>
          </m:e>
          <m:sub>
            <m:r>
              <m:rPr/>
              <w:rPr>
                <w:rFonts w:ascii="Cambria Math" w:hAnsi="Cambria Math" w:cs="Times New Roman" w:eastAsiaTheme="minorEastAsia"/>
                <w:lang w:eastAsia="zh-CN"/>
              </w:rPr>
              <m:t>i</m:t>
            </m:r>
            <m:ctrlPr>
              <w:rPr>
                <w:rFonts w:ascii="Cambria Math" w:hAnsi="Cambria Math" w:cs="Times New Roman" w:eastAsiaTheme="minorEastAsia"/>
                <w:i/>
              </w:rPr>
            </m:ctrlPr>
          </m:sub>
        </m:sSub>
      </m:oMath>
      <w:r>
        <w:rPr>
          <w:rFonts w:ascii="Times New Roman" w:hAnsi="Times New Roman" w:cs="Times New Roman" w:eastAsiaTheme="minorEastAsia"/>
          <w:spacing w:val="9"/>
          <w:lang w:eastAsia="zh-CN"/>
        </w:rPr>
        <w:t>——</w:t>
      </w:r>
      <w:r>
        <w:rPr>
          <w:rFonts w:ascii="Times New Roman" w:hAnsi="Times New Roman" w:cs="Times New Roman" w:eastAsiaTheme="minorEastAsia"/>
          <w:lang w:eastAsia="zh-CN"/>
        </w:rPr>
        <w:t>某阶段缺省值排放因</w:t>
      </w:r>
      <w:r>
        <w:rPr>
          <w:rFonts w:ascii="Times New Roman" w:hAnsi="Times New Roman" w:cs="Times New Roman" w:eastAsiaTheme="minorEastAsia"/>
          <w:spacing w:val="9"/>
          <w:lang w:eastAsia="zh-CN"/>
        </w:rPr>
        <w:t>子，</w:t>
      </w:r>
      <w:r>
        <w:rPr>
          <w:rFonts w:ascii="Times New Roman" w:hAnsi="Times New Roman" w:cs="Times New Roman" w:eastAsiaTheme="minorEastAsia"/>
          <w:lang w:eastAsia="zh-CN"/>
        </w:rPr>
        <w:t>单位千克二氧化碳当量/该阶段的计量单位</w:t>
      </w:r>
      <w:r>
        <w:rPr>
          <w:rFonts w:ascii="Times New Roman" w:hAnsi="Times New Roman" w:cs="Times New Roman" w:eastAsiaTheme="minorEastAsia"/>
          <w:kern w:val="0"/>
          <w:lang w:eastAsia="zh-CN"/>
        </w:rPr>
        <w:t>（kgCO</w:t>
      </w:r>
      <w:r>
        <w:rPr>
          <w:rFonts w:ascii="Times New Roman" w:hAnsi="Times New Roman" w:cs="Times New Roman" w:eastAsiaTheme="minorEastAsia"/>
          <w:kern w:val="0"/>
          <w:vertAlign w:val="subscript"/>
          <w:lang w:eastAsia="zh-CN"/>
        </w:rPr>
        <w:t>2</w:t>
      </w:r>
      <w:r>
        <w:rPr>
          <w:rFonts w:ascii="Times New Roman" w:hAnsi="Times New Roman" w:cs="Times New Roman" w:eastAsiaTheme="minorEastAsia"/>
          <w:kern w:val="0"/>
          <w:lang w:eastAsia="zh-CN"/>
        </w:rPr>
        <w:t>e/</w:t>
      </w:r>
      <w:r>
        <w:rPr>
          <w:rFonts w:ascii="Times New Roman" w:hAnsi="Times New Roman" w:cs="Times New Roman" w:eastAsiaTheme="minorEastAsia"/>
          <w:spacing w:val="9"/>
          <w:lang w:eastAsia="zh-CN"/>
        </w:rPr>
        <w:t>a</w:t>
      </w:r>
      <w:r>
        <w:rPr>
          <w:rFonts w:ascii="Times New Roman" w:hAnsi="Times New Roman" w:cs="Times New Roman" w:eastAsiaTheme="minorEastAsia"/>
          <w:spacing w:val="9"/>
          <w:vertAlign w:val="subscript"/>
          <w:lang w:eastAsia="zh-CN"/>
        </w:rPr>
        <w:t>i</w:t>
      </w:r>
      <w:r>
        <w:rPr>
          <w:rFonts w:ascii="Times New Roman" w:hAnsi="Times New Roman" w:cs="Times New Roman" w:eastAsiaTheme="minorEastAsia"/>
          <w:kern w:val="0"/>
          <w:lang w:eastAsia="zh-CN"/>
        </w:rPr>
        <w:t>）。</w:t>
      </w:r>
    </w:p>
    <w:p>
      <w:pPr>
        <w:pStyle w:val="3"/>
        <w:spacing w:before="75" w:line="230" w:lineRule="auto"/>
        <w:jc w:val="left"/>
        <w:outlineLvl w:val="0"/>
        <w:rPr>
          <w:rFonts w:ascii="Times New Roman" w:hAnsi="Times New Roman" w:cs="Times New Roman" w:eastAsiaTheme="minorEastAsia"/>
          <w:spacing w:val="9"/>
          <w:lang w:eastAsia="zh-CN"/>
        </w:rPr>
      </w:pPr>
      <w:r>
        <w:rPr>
          <w:rFonts w:ascii="Times New Roman" w:hAnsi="Times New Roman" w:cs="Times New Roman" w:eastAsiaTheme="minorEastAsia"/>
          <w:spacing w:val="9"/>
          <w:lang w:eastAsia="zh-CN"/>
        </w:rPr>
        <w:t>F.4案例</w:t>
      </w:r>
    </w:p>
    <w:p>
      <w:pPr>
        <w:spacing w:before="89" w:line="222" w:lineRule="auto"/>
        <w:jc w:val="left"/>
        <w:rPr>
          <w:rFonts w:ascii="Times New Roman" w:hAnsi="Times New Roman" w:cs="Times New Roman"/>
          <w:spacing w:val="-1"/>
          <w:szCs w:val="21"/>
        </w:rPr>
      </w:pPr>
      <w:r>
        <w:rPr>
          <w:rFonts w:ascii="Times New Roman" w:hAnsi="Times New Roman" w:cs="Times New Roman"/>
          <w:spacing w:val="-1"/>
          <w:szCs w:val="21"/>
        </w:rPr>
        <w:t>某雪地轮胎产品生命周期各阶段碳排放情况见表F.1。</w:t>
      </w:r>
    </w:p>
    <w:p>
      <w:pPr>
        <w:pStyle w:val="3"/>
        <w:rPr>
          <w:rFonts w:eastAsiaTheme="minorEastAsia"/>
          <w:lang w:eastAsia="zh-CN"/>
        </w:rPr>
      </w:pPr>
    </w:p>
    <w:p>
      <w:pPr>
        <w:spacing w:before="89" w:line="222" w:lineRule="auto"/>
        <w:jc w:val="center"/>
        <w:rPr>
          <w:rFonts w:ascii="黑体" w:hAnsi="黑体" w:eastAsia="黑体" w:cstheme="minorEastAsia"/>
          <w:szCs w:val="21"/>
        </w:rPr>
      </w:pPr>
      <w:r>
        <w:rPr>
          <w:rFonts w:hint="eastAsia" w:ascii="黑体" w:hAnsi="黑体" w:eastAsia="黑体" w:cstheme="minorEastAsia"/>
          <w:spacing w:val="-1"/>
          <w:szCs w:val="21"/>
        </w:rPr>
        <w:t>表</w:t>
      </w:r>
      <w:r>
        <w:rPr>
          <w:rFonts w:hint="eastAsia" w:ascii="黑体" w:hAnsi="黑体" w:eastAsia="黑体" w:cstheme="minorEastAsia"/>
          <w:spacing w:val="-45"/>
          <w:szCs w:val="21"/>
        </w:rPr>
        <w:t xml:space="preserve"> </w:t>
      </w:r>
      <w:r>
        <w:rPr>
          <w:rFonts w:hint="eastAsia" w:ascii="黑体" w:hAnsi="黑体" w:eastAsia="黑体" w:cstheme="minorEastAsia"/>
          <w:spacing w:val="-1"/>
          <w:szCs w:val="21"/>
        </w:rPr>
        <w:t>F.1 某雪地轮胎产品生命周期各阶段碳排放情况</w:t>
      </w:r>
    </w:p>
    <w:p>
      <w:pPr>
        <w:spacing w:line="147" w:lineRule="exact"/>
        <w:rPr>
          <w:rFonts w:asciiTheme="minorEastAsia" w:hAnsiTheme="minorEastAsia" w:cstheme="minorEastAsia"/>
          <w:szCs w:val="21"/>
        </w:rPr>
      </w:pPr>
    </w:p>
    <w:tbl>
      <w:tblPr>
        <w:tblStyle w:val="29"/>
        <w:tblW w:w="496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659"/>
        <w:gridCol w:w="49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2424" w:type="pct"/>
            <w:tcBorders>
              <w:top w:val="single" w:color="auto" w:sz="12" w:space="0"/>
              <w:left w:val="single" w:color="auto" w:sz="12" w:space="0"/>
              <w:bottom w:val="single" w:color="auto" w:sz="4" w:space="0"/>
              <w:righ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b/>
                <w:bCs/>
                <w:spacing w:val="-3"/>
              </w:rPr>
              <w:t>生命周期阶段</w:t>
            </w:r>
          </w:p>
        </w:tc>
        <w:tc>
          <w:tcPr>
            <w:tcW w:w="2575" w:type="pct"/>
            <w:tcBorders>
              <w:top w:val="single" w:color="auto" w:sz="12" w:space="0"/>
              <w:left w:val="single" w:color="auto" w:sz="4" w:space="0"/>
              <w:bottom w:val="single" w:color="auto" w:sz="4" w:space="0"/>
              <w:right w:val="single" w:color="auto" w:sz="12"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b/>
                <w:bCs/>
                <w:spacing w:val="-1"/>
              </w:rPr>
              <w:t>碳排放（</w:t>
            </w:r>
            <w:r>
              <w:rPr>
                <w:rFonts w:ascii="Times New Roman" w:hAnsi="Times New Roman" w:cs="Times New Roman" w:eastAsiaTheme="minorEastAsia"/>
                <w:spacing w:val="-1"/>
              </w:rPr>
              <w:t>kgCO</w:t>
            </w:r>
            <w:r>
              <w:rPr>
                <w:rFonts w:ascii="Times New Roman" w:hAnsi="Times New Roman" w:cs="Times New Roman" w:eastAsiaTheme="minorEastAsia"/>
                <w:spacing w:val="-1"/>
                <w:vertAlign w:val="subscript"/>
              </w:rPr>
              <w:t>2</w:t>
            </w:r>
            <w:r>
              <w:rPr>
                <w:rFonts w:ascii="Times New Roman" w:hAnsi="Times New Roman" w:cs="Times New Roman" w:eastAsiaTheme="minorEastAsia"/>
                <w:spacing w:val="-1"/>
              </w:rPr>
              <w:t>e</w:t>
            </w:r>
            <w:r>
              <w:rPr>
                <w:rFonts w:ascii="Times New Roman" w:hAnsi="Times New Roman" w:cs="Times New Roman" w:eastAsiaTheme="minorEastAsia"/>
                <w:b/>
                <w:bCs/>
                <w:spacing w:val="-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2424" w:type="pct"/>
            <w:tcBorders>
              <w:top w:val="single" w:color="auto" w:sz="4" w:space="0"/>
              <w:left w:val="single" w:color="auto" w:sz="12" w:space="0"/>
              <w:bottom w:val="single" w:color="auto" w:sz="4" w:space="0"/>
              <w:righ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材料获取阶段</w:t>
            </w:r>
          </w:p>
        </w:tc>
        <w:tc>
          <w:tcPr>
            <w:tcW w:w="2575" w:type="pct"/>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cs="Times New Roman"/>
                <w:szCs w:val="21"/>
              </w:rPr>
            </w:pPr>
            <w:r>
              <w:rPr>
                <w:rFonts w:ascii="Times New Roman" w:hAnsi="Times New Roman" w:cs="Times New Roman"/>
                <w:szCs w:val="21"/>
              </w:rPr>
              <w:t>44.81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2424" w:type="pct"/>
            <w:tcBorders>
              <w:top w:val="single" w:color="auto" w:sz="4" w:space="0"/>
              <w:left w:val="single" w:color="auto" w:sz="12" w:space="0"/>
              <w:bottom w:val="single" w:color="auto" w:sz="4" w:space="0"/>
              <w:right w:val="single" w:color="auto" w:sz="4" w:space="0"/>
            </w:tcBorders>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雪地轮胎产品生产阶段</w:t>
            </w:r>
          </w:p>
        </w:tc>
        <w:tc>
          <w:tcPr>
            <w:tcW w:w="2575" w:type="pct"/>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cs="Times New Roman"/>
                <w:szCs w:val="21"/>
              </w:rPr>
            </w:pPr>
            <w:r>
              <w:rPr>
                <w:rFonts w:ascii="Times New Roman" w:hAnsi="Times New Roman" w:cs="Times New Roman"/>
                <w:szCs w:val="21"/>
              </w:rPr>
              <w:t>9.93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2424" w:type="pct"/>
            <w:tcBorders>
              <w:top w:val="single" w:color="auto" w:sz="4" w:space="0"/>
              <w:left w:val="single" w:color="auto" w:sz="12" w:space="0"/>
              <w:bottom w:val="single" w:color="auto" w:sz="4" w:space="0"/>
              <w:right w:val="single" w:color="auto" w:sz="4" w:space="0"/>
            </w:tcBorders>
            <w:vAlign w:val="center"/>
          </w:tcPr>
          <w:p>
            <w:pPr>
              <w:pStyle w:val="28"/>
              <w:jc w:val="center"/>
              <w:rPr>
                <w:rFonts w:ascii="Times New Roman" w:hAnsi="Times New Roman" w:cs="Times New Roman" w:eastAsiaTheme="minorEastAsia"/>
                <w:spacing w:val="-1"/>
                <w:lang w:eastAsia="zh-CN"/>
              </w:rPr>
            </w:pPr>
            <w:r>
              <w:rPr>
                <w:rFonts w:ascii="Times New Roman" w:hAnsi="Times New Roman" w:cs="Times New Roman" w:eastAsiaTheme="minorEastAsia"/>
                <w:spacing w:val="-1"/>
                <w:lang w:eastAsia="zh-CN"/>
              </w:rPr>
              <w:t>雪地轮胎产品分销阶段</w:t>
            </w:r>
          </w:p>
        </w:tc>
        <w:tc>
          <w:tcPr>
            <w:tcW w:w="2575" w:type="pct"/>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cs="Times New Roman"/>
                <w:szCs w:val="21"/>
              </w:rPr>
            </w:pPr>
            <w:r>
              <w:rPr>
                <w:rFonts w:ascii="Times New Roman" w:hAnsi="Times New Roman" w:cs="Times New Roman"/>
                <w:szCs w:val="21"/>
              </w:rPr>
              <w:t>3.28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2424" w:type="pct"/>
            <w:tcBorders>
              <w:top w:val="single" w:color="auto" w:sz="4" w:space="0"/>
              <w:left w:val="single" w:color="auto" w:sz="12" w:space="0"/>
              <w:bottom w:val="single" w:color="auto" w:sz="4" w:space="0"/>
              <w:right w:val="single" w:color="auto" w:sz="4" w:space="0"/>
            </w:tcBorders>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雪地轮胎产品使用阶段</w:t>
            </w:r>
          </w:p>
        </w:tc>
        <w:tc>
          <w:tcPr>
            <w:tcW w:w="2575" w:type="pct"/>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cs="Times New Roman"/>
                <w:szCs w:val="21"/>
              </w:rPr>
            </w:pPr>
            <w:r>
              <w:rPr>
                <w:rFonts w:ascii="Times New Roman" w:hAnsi="Times New Roman" w:cs="Times New Roman"/>
                <w:szCs w:val="21"/>
              </w:rPr>
              <w:t>485.69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2424" w:type="pct"/>
            <w:tcBorders>
              <w:top w:val="single" w:color="auto" w:sz="4" w:space="0"/>
              <w:left w:val="single" w:color="auto" w:sz="12" w:space="0"/>
              <w:bottom w:val="single" w:color="auto" w:sz="4" w:space="0"/>
              <w:right w:val="single" w:color="auto" w:sz="4" w:space="0"/>
            </w:tcBorders>
            <w:vAlign w:val="center"/>
          </w:tcPr>
          <w:p>
            <w:pPr>
              <w:pStyle w:val="28"/>
              <w:jc w:val="center"/>
              <w:rPr>
                <w:rFonts w:ascii="Times New Roman" w:hAnsi="Times New Roman" w:cs="Times New Roman" w:eastAsiaTheme="minorEastAsia"/>
                <w:lang w:eastAsia="zh-CN"/>
              </w:rPr>
            </w:pPr>
            <w:r>
              <w:rPr>
                <w:rFonts w:ascii="Times New Roman" w:hAnsi="Times New Roman" w:cs="Times New Roman" w:eastAsiaTheme="minorEastAsia"/>
                <w:spacing w:val="-1"/>
                <w:lang w:eastAsia="zh-CN"/>
              </w:rPr>
              <w:t>雪地轮胎产品废弃处理过程</w:t>
            </w:r>
          </w:p>
        </w:tc>
        <w:tc>
          <w:tcPr>
            <w:tcW w:w="2575" w:type="pct"/>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cs="Times New Roman"/>
                <w:szCs w:val="21"/>
              </w:rPr>
            </w:pPr>
            <w:r>
              <w:rPr>
                <w:rFonts w:ascii="Times New Roman" w:hAnsi="Times New Roman" w:cs="Times New Roman"/>
                <w:szCs w:val="21"/>
              </w:rPr>
              <w:t>-5.96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424" w:type="pct"/>
            <w:tcBorders>
              <w:top w:val="single" w:color="auto" w:sz="4" w:space="0"/>
              <w:left w:val="single" w:color="auto" w:sz="12" w:space="0"/>
              <w:bottom w:val="single" w:color="auto" w:sz="12" w:space="0"/>
              <w:right w:val="single" w:color="auto" w:sz="4" w:space="0"/>
            </w:tcBorders>
            <w:vAlign w:val="center"/>
          </w:tcPr>
          <w:p>
            <w:pPr>
              <w:pStyle w:val="28"/>
              <w:jc w:val="center"/>
              <w:rPr>
                <w:rFonts w:ascii="Times New Roman" w:hAnsi="Times New Roman" w:cs="Times New Roman" w:eastAsiaTheme="minorEastAsia"/>
              </w:rPr>
            </w:pPr>
            <w:r>
              <w:rPr>
                <w:rFonts w:ascii="Times New Roman" w:hAnsi="Times New Roman" w:cs="Times New Roman" w:eastAsiaTheme="minorEastAsia"/>
                <w:spacing w:val="-2"/>
              </w:rPr>
              <w:t>碳足迹总量</w:t>
            </w:r>
          </w:p>
        </w:tc>
        <w:tc>
          <w:tcPr>
            <w:tcW w:w="2575" w:type="pct"/>
            <w:tcBorders>
              <w:top w:val="single" w:color="auto" w:sz="4" w:space="0"/>
              <w:left w:val="single" w:color="auto" w:sz="4" w:space="0"/>
              <w:bottom w:val="single" w:color="auto" w:sz="12" w:space="0"/>
              <w:right w:val="single" w:color="auto" w:sz="12" w:space="0"/>
            </w:tcBorders>
            <w:vAlign w:val="center"/>
          </w:tcPr>
          <w:p>
            <w:pPr>
              <w:jc w:val="center"/>
              <w:rPr>
                <w:rFonts w:ascii="Times New Roman" w:hAnsi="Times New Roman" w:cs="Times New Roman"/>
                <w:szCs w:val="21"/>
              </w:rPr>
            </w:pPr>
            <w:r>
              <w:rPr>
                <w:rFonts w:ascii="Times New Roman" w:hAnsi="Times New Roman" w:cs="Times New Roman"/>
                <w:szCs w:val="21"/>
              </w:rPr>
              <w:t>537.75</w:t>
            </w:r>
          </w:p>
        </w:tc>
      </w:tr>
    </w:tbl>
    <w:p>
      <w:pPr>
        <w:spacing w:before="89" w:line="222" w:lineRule="auto"/>
        <w:jc w:val="left"/>
        <w:rPr>
          <w:rFonts w:asciiTheme="minorEastAsia" w:hAnsiTheme="minorEastAsia" w:cstheme="minorEastAsia"/>
          <w:spacing w:val="-1"/>
          <w:szCs w:val="21"/>
        </w:rPr>
      </w:pPr>
      <w:r>
        <w:rPr>
          <w:rFonts w:hint="eastAsia" w:asciiTheme="minorEastAsia" w:hAnsiTheme="minorEastAsia" w:cstheme="minorEastAsia"/>
          <w:spacing w:val="-1"/>
          <w:szCs w:val="21"/>
        </w:rPr>
        <w:t>某</w:t>
      </w:r>
      <w:r>
        <w:rPr>
          <w:rFonts w:asciiTheme="minorEastAsia" w:hAnsiTheme="minorEastAsia" w:cstheme="minorEastAsia"/>
          <w:spacing w:val="-1"/>
          <w:szCs w:val="21"/>
        </w:rPr>
        <w:t>雪地轮胎产品</w:t>
      </w:r>
      <w:r>
        <w:rPr>
          <w:rFonts w:hint="eastAsia" w:asciiTheme="minorEastAsia" w:hAnsiTheme="minorEastAsia" w:cstheme="minorEastAsia"/>
          <w:spacing w:val="-1"/>
          <w:szCs w:val="21"/>
        </w:rPr>
        <w:t>碳足迹不确定度来源</w:t>
      </w:r>
      <w:r>
        <w:rPr>
          <w:rFonts w:asciiTheme="minorEastAsia" w:hAnsiTheme="minorEastAsia" w:cstheme="minorEastAsia"/>
          <w:spacing w:val="-1"/>
          <w:szCs w:val="21"/>
        </w:rPr>
        <w:t>分析</w:t>
      </w:r>
      <w:r>
        <w:rPr>
          <w:rFonts w:hint="eastAsia" w:asciiTheme="minorEastAsia" w:hAnsiTheme="minorEastAsia" w:cstheme="minorEastAsia"/>
          <w:spacing w:val="-1"/>
          <w:szCs w:val="21"/>
        </w:rPr>
        <w:t>见表</w:t>
      </w:r>
      <w:r>
        <w:rPr>
          <w:rFonts w:ascii="Times New Roman" w:hAnsi="Times New Roman" w:cs="Times New Roman"/>
          <w:spacing w:val="-1"/>
          <w:szCs w:val="21"/>
        </w:rPr>
        <w:t>F.2</w:t>
      </w:r>
      <w:r>
        <w:rPr>
          <w:rFonts w:hint="eastAsia" w:asciiTheme="minorEastAsia" w:hAnsiTheme="minorEastAsia" w:cstheme="minorEastAsia"/>
          <w:spacing w:val="-1"/>
          <w:szCs w:val="21"/>
        </w:rPr>
        <w:t>。</w:t>
      </w:r>
    </w:p>
    <w:p>
      <w:pPr>
        <w:spacing w:before="89" w:line="222" w:lineRule="auto"/>
        <w:jc w:val="center"/>
        <w:rPr>
          <w:rFonts w:ascii="黑体" w:hAnsi="黑体" w:eastAsia="黑体" w:cstheme="minorEastAsia"/>
          <w:spacing w:val="-1"/>
          <w:szCs w:val="21"/>
        </w:rPr>
      </w:pPr>
      <w:r>
        <w:rPr>
          <w:rFonts w:hint="eastAsia" w:ascii="黑体" w:hAnsi="黑体" w:eastAsia="黑体" w:cstheme="minorEastAsia"/>
          <w:spacing w:val="-1"/>
          <w:szCs w:val="21"/>
        </w:rPr>
        <w:t>表 F.2 某雪地轮胎产品碳足迹不确定度来源数据（单位：</w:t>
      </w:r>
      <w:r>
        <w:rPr>
          <w:rFonts w:hint="eastAsia" w:ascii="Times New Roman" w:hAnsi="Times New Roman" w:cs="Times New Roman"/>
          <w:spacing w:val="-1"/>
          <w:szCs w:val="21"/>
        </w:rPr>
        <w:t>kgCO2e</w:t>
      </w:r>
      <w:r>
        <w:rPr>
          <w:rFonts w:hint="eastAsia" w:ascii="黑体" w:hAnsi="黑体" w:eastAsia="黑体" w:cstheme="minorEastAsia"/>
          <w:spacing w:val="-1"/>
          <w:szCs w:val="21"/>
        </w:rPr>
        <w:t>）</w:t>
      </w:r>
    </w:p>
    <w:tbl>
      <w:tblPr>
        <w:tblStyle w:val="10"/>
        <w:tblW w:w="9602" w:type="dxa"/>
        <w:tblInd w:w="97" w:type="dxa"/>
        <w:tblLayout w:type="autofit"/>
        <w:tblCellMar>
          <w:top w:w="0" w:type="dxa"/>
          <w:left w:w="108" w:type="dxa"/>
          <w:bottom w:w="0" w:type="dxa"/>
          <w:right w:w="108" w:type="dxa"/>
        </w:tblCellMar>
      </w:tblPr>
      <w:tblGrid>
        <w:gridCol w:w="2088"/>
        <w:gridCol w:w="3063"/>
        <w:gridCol w:w="2185"/>
        <w:gridCol w:w="2266"/>
      </w:tblGrid>
      <w:tr>
        <w:tblPrEx>
          <w:tblCellMar>
            <w:top w:w="0" w:type="dxa"/>
            <w:left w:w="108" w:type="dxa"/>
            <w:bottom w:w="0" w:type="dxa"/>
            <w:right w:w="108" w:type="dxa"/>
          </w:tblCellMar>
        </w:tblPrEx>
        <w:trPr>
          <w:trHeight w:val="487" w:hRule="atLeast"/>
        </w:trPr>
        <w:tc>
          <w:tcPr>
            <w:tcW w:w="2088" w:type="dxa"/>
            <w:tcBorders>
              <w:top w:val="single" w:color="auto" w:sz="12" w:space="0"/>
              <w:left w:val="single" w:color="auto" w:sz="12"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阶段</w:t>
            </w:r>
          </w:p>
        </w:tc>
        <w:tc>
          <w:tcPr>
            <w:tcW w:w="3063" w:type="dxa"/>
            <w:tcBorders>
              <w:top w:val="single" w:color="auto" w:sz="12"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各阶段不确定度</w:t>
            </w:r>
          </w:p>
        </w:tc>
        <w:tc>
          <w:tcPr>
            <w:tcW w:w="2185" w:type="dxa"/>
            <w:tcBorders>
              <w:top w:val="single" w:color="auto" w:sz="12"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直接测量的不确定度</w:t>
            </w:r>
          </w:p>
        </w:tc>
        <w:tc>
          <w:tcPr>
            <w:tcW w:w="2266" w:type="dxa"/>
            <w:tcBorders>
              <w:top w:val="single" w:color="auto" w:sz="12"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缺省值的不确定度</w:t>
            </w:r>
          </w:p>
        </w:tc>
      </w:tr>
      <w:tr>
        <w:tblPrEx>
          <w:tblCellMar>
            <w:top w:w="0" w:type="dxa"/>
            <w:left w:w="108" w:type="dxa"/>
            <w:bottom w:w="0" w:type="dxa"/>
            <w:right w:w="108" w:type="dxa"/>
          </w:tblCellMar>
        </w:tblPrEx>
        <w:trPr>
          <w:trHeight w:val="386" w:hRule="atLeast"/>
        </w:trPr>
        <w:tc>
          <w:tcPr>
            <w:tcW w:w="2088" w:type="dxa"/>
            <w:tcBorders>
              <w:top w:val="single" w:color="000000" w:sz="4" w:space="0"/>
              <w:left w:val="single" w:color="auto" w:sz="12" w:space="0"/>
              <w:bottom w:val="single" w:color="000000" w:sz="4" w:space="0"/>
              <w:right w:val="single" w:color="000000" w:sz="4" w:space="0"/>
            </w:tcBorders>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材料获取阶段</w:t>
            </w:r>
          </w:p>
        </w:tc>
        <w:tc>
          <w:tcPr>
            <w:tcW w:w="30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3.05</w:t>
            </w:r>
          </w:p>
        </w:tc>
        <w:tc>
          <w:tcPr>
            <w:tcW w:w="2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0</w:t>
            </w:r>
          </w:p>
        </w:tc>
        <w:tc>
          <w:tcPr>
            <w:tcW w:w="2266" w:type="dxa"/>
            <w:tcBorders>
              <w:top w:val="single" w:color="000000" w:sz="4"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3.05</w:t>
            </w:r>
          </w:p>
        </w:tc>
      </w:tr>
      <w:tr>
        <w:tblPrEx>
          <w:tblCellMar>
            <w:top w:w="0" w:type="dxa"/>
            <w:left w:w="108" w:type="dxa"/>
            <w:bottom w:w="0" w:type="dxa"/>
            <w:right w:w="108" w:type="dxa"/>
          </w:tblCellMar>
        </w:tblPrEx>
        <w:trPr>
          <w:trHeight w:val="386" w:hRule="atLeast"/>
        </w:trPr>
        <w:tc>
          <w:tcPr>
            <w:tcW w:w="2088" w:type="dxa"/>
            <w:tcBorders>
              <w:top w:val="single" w:color="000000" w:sz="4" w:space="0"/>
              <w:left w:val="single" w:color="auto" w:sz="12" w:space="0"/>
              <w:bottom w:val="single" w:color="000000" w:sz="4" w:space="0"/>
              <w:right w:val="single" w:color="000000" w:sz="4" w:space="0"/>
            </w:tcBorders>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雪地轮胎产品生产阶段</w:t>
            </w:r>
          </w:p>
        </w:tc>
        <w:tc>
          <w:tcPr>
            <w:tcW w:w="30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1.15</w:t>
            </w:r>
          </w:p>
        </w:tc>
        <w:tc>
          <w:tcPr>
            <w:tcW w:w="2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0.47</w:t>
            </w:r>
          </w:p>
        </w:tc>
        <w:tc>
          <w:tcPr>
            <w:tcW w:w="2266" w:type="dxa"/>
            <w:tcBorders>
              <w:top w:val="single" w:color="000000" w:sz="4"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1.05</w:t>
            </w:r>
          </w:p>
        </w:tc>
      </w:tr>
      <w:tr>
        <w:tblPrEx>
          <w:tblCellMar>
            <w:top w:w="0" w:type="dxa"/>
            <w:left w:w="108" w:type="dxa"/>
            <w:bottom w:w="0" w:type="dxa"/>
            <w:right w:w="108" w:type="dxa"/>
          </w:tblCellMar>
        </w:tblPrEx>
        <w:trPr>
          <w:trHeight w:val="386" w:hRule="atLeast"/>
        </w:trPr>
        <w:tc>
          <w:tcPr>
            <w:tcW w:w="2088" w:type="dxa"/>
            <w:tcBorders>
              <w:top w:val="single" w:color="000000" w:sz="4" w:space="0"/>
              <w:left w:val="single" w:color="auto" w:sz="12" w:space="0"/>
              <w:bottom w:val="single" w:color="000000" w:sz="4" w:space="0"/>
              <w:right w:val="single" w:color="000000" w:sz="4" w:space="0"/>
            </w:tcBorders>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雪地轮胎产品分销阶段</w:t>
            </w:r>
          </w:p>
        </w:tc>
        <w:tc>
          <w:tcPr>
            <w:tcW w:w="30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0.93</w:t>
            </w:r>
          </w:p>
        </w:tc>
        <w:tc>
          <w:tcPr>
            <w:tcW w:w="2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0.55</w:t>
            </w:r>
          </w:p>
        </w:tc>
        <w:tc>
          <w:tcPr>
            <w:tcW w:w="2266" w:type="dxa"/>
            <w:tcBorders>
              <w:top w:val="single" w:color="000000" w:sz="4"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0.75</w:t>
            </w:r>
          </w:p>
        </w:tc>
      </w:tr>
      <w:tr>
        <w:tblPrEx>
          <w:tblCellMar>
            <w:top w:w="0" w:type="dxa"/>
            <w:left w:w="108" w:type="dxa"/>
            <w:bottom w:w="0" w:type="dxa"/>
            <w:right w:w="108" w:type="dxa"/>
          </w:tblCellMar>
        </w:tblPrEx>
        <w:trPr>
          <w:trHeight w:val="386" w:hRule="atLeast"/>
        </w:trPr>
        <w:tc>
          <w:tcPr>
            <w:tcW w:w="2088" w:type="dxa"/>
            <w:tcBorders>
              <w:top w:val="single" w:color="000000" w:sz="4" w:space="0"/>
              <w:left w:val="single" w:color="auto" w:sz="12" w:space="0"/>
              <w:bottom w:val="single" w:color="000000" w:sz="4" w:space="0"/>
              <w:right w:val="single" w:color="000000" w:sz="4" w:space="0"/>
            </w:tcBorders>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雪地轮胎产品使用阶段</w:t>
            </w:r>
          </w:p>
        </w:tc>
        <w:tc>
          <w:tcPr>
            <w:tcW w:w="30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30.92</w:t>
            </w:r>
          </w:p>
        </w:tc>
        <w:tc>
          <w:tcPr>
            <w:tcW w:w="2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21.05</w:t>
            </w:r>
          </w:p>
        </w:tc>
        <w:tc>
          <w:tcPr>
            <w:tcW w:w="2266" w:type="dxa"/>
            <w:tcBorders>
              <w:top w:val="single" w:color="000000" w:sz="4"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22.65</w:t>
            </w:r>
          </w:p>
        </w:tc>
      </w:tr>
      <w:tr>
        <w:tblPrEx>
          <w:tblCellMar>
            <w:top w:w="0" w:type="dxa"/>
            <w:left w:w="108" w:type="dxa"/>
            <w:bottom w:w="0" w:type="dxa"/>
            <w:right w:w="108" w:type="dxa"/>
          </w:tblCellMar>
        </w:tblPrEx>
        <w:trPr>
          <w:trHeight w:val="501" w:hRule="atLeast"/>
        </w:trPr>
        <w:tc>
          <w:tcPr>
            <w:tcW w:w="2088" w:type="dxa"/>
            <w:tcBorders>
              <w:top w:val="single" w:color="000000" w:sz="4" w:space="0"/>
              <w:left w:val="single" w:color="auto" w:sz="12" w:space="0"/>
              <w:bottom w:val="single" w:color="000000" w:sz="4" w:space="0"/>
              <w:right w:val="single" w:color="000000" w:sz="4" w:space="0"/>
            </w:tcBorders>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雪地轮胎产品废弃处理过程</w:t>
            </w:r>
          </w:p>
        </w:tc>
        <w:tc>
          <w:tcPr>
            <w:tcW w:w="30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1.05</w:t>
            </w:r>
          </w:p>
        </w:tc>
        <w:tc>
          <w:tcPr>
            <w:tcW w:w="2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0</w:t>
            </w:r>
          </w:p>
        </w:tc>
        <w:tc>
          <w:tcPr>
            <w:tcW w:w="2266" w:type="dxa"/>
            <w:tcBorders>
              <w:top w:val="single" w:color="000000" w:sz="4"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1.05</w:t>
            </w:r>
          </w:p>
        </w:tc>
      </w:tr>
      <w:tr>
        <w:tblPrEx>
          <w:tblCellMar>
            <w:top w:w="0" w:type="dxa"/>
            <w:left w:w="108" w:type="dxa"/>
            <w:bottom w:w="0" w:type="dxa"/>
            <w:right w:w="108" w:type="dxa"/>
          </w:tblCellMar>
        </w:tblPrEx>
        <w:trPr>
          <w:trHeight w:val="395" w:hRule="atLeast"/>
        </w:trPr>
        <w:tc>
          <w:tcPr>
            <w:tcW w:w="2088" w:type="dxa"/>
            <w:tcBorders>
              <w:top w:val="single" w:color="000000" w:sz="4" w:space="0"/>
              <w:left w:val="single" w:color="auto" w:sz="12" w:space="0"/>
              <w:bottom w:val="single" w:color="000000" w:sz="4" w:space="0"/>
              <w:right w:val="single" w:color="000000" w:sz="4" w:space="0"/>
            </w:tcBorders>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合成标准不确定度</w:t>
            </w:r>
          </w:p>
        </w:tc>
        <w:tc>
          <w:tcPr>
            <w:tcW w:w="7514" w:type="dxa"/>
            <w:gridSpan w:val="3"/>
            <w:tcBorders>
              <w:top w:val="single" w:color="000000" w:sz="4" w:space="0"/>
              <w:left w:val="single" w:color="000000" w:sz="4" w:space="0"/>
              <w:bottom w:val="single" w:color="000000" w:sz="4" w:space="0"/>
              <w:right w:val="single" w:color="auto" w:sz="12" w:space="0"/>
            </w:tcBorders>
            <w:noWrap/>
            <w:vAlign w:val="center"/>
          </w:tcPr>
          <w:p>
            <w:pPr>
              <w:widowControl/>
              <w:jc w:val="center"/>
              <w:textAlignment w:val="center"/>
              <w:rPr>
                <w:rFonts w:ascii="Times New Roman" w:hAnsi="Times New Roman" w:cs="Times New Roman"/>
                <w:szCs w:val="21"/>
              </w:rPr>
            </w:pPr>
            <w:r>
              <w:rPr>
                <w:rFonts w:ascii="Times New Roman" w:hAnsi="Times New Roman" w:cs="Times New Roman"/>
                <w:kern w:val="0"/>
                <w:szCs w:val="21"/>
                <w:lang w:bidi="ar"/>
              </w:rPr>
              <w:t>37.11</w:t>
            </w:r>
          </w:p>
        </w:tc>
      </w:tr>
      <w:tr>
        <w:tblPrEx>
          <w:tblCellMar>
            <w:top w:w="0" w:type="dxa"/>
            <w:left w:w="108" w:type="dxa"/>
            <w:bottom w:w="0" w:type="dxa"/>
            <w:right w:w="108" w:type="dxa"/>
          </w:tblCellMar>
        </w:tblPrEx>
        <w:trPr>
          <w:trHeight w:val="395" w:hRule="atLeast"/>
        </w:trPr>
        <w:tc>
          <w:tcPr>
            <w:tcW w:w="2088" w:type="dxa"/>
            <w:tcBorders>
              <w:top w:val="single" w:color="000000" w:sz="4" w:space="0"/>
              <w:left w:val="single" w:color="auto" w:sz="12" w:space="0"/>
              <w:bottom w:val="single" w:color="auto" w:sz="12" w:space="0"/>
              <w:right w:val="single" w:color="000000" w:sz="4" w:space="0"/>
            </w:tcBorders>
            <w:vAlign w:val="center"/>
          </w:tcPr>
          <w:p>
            <w:pPr>
              <w:widowControl/>
              <w:jc w:val="center"/>
              <w:textAlignment w:val="center"/>
              <w:rPr>
                <w:rFonts w:ascii="Times New Roman" w:hAnsi="Times New Roman" w:cs="Times New Roman"/>
                <w:kern w:val="0"/>
                <w:szCs w:val="21"/>
                <w:lang w:bidi="ar"/>
              </w:rPr>
            </w:pPr>
            <w:r>
              <w:rPr>
                <w:rFonts w:ascii="Times New Roman" w:hAnsi="Times New Roman" w:cs="Times New Roman"/>
                <w:kern w:val="0"/>
                <w:szCs w:val="21"/>
                <w:lang w:bidi="ar"/>
              </w:rPr>
              <w:t>扩展不确定度</w:t>
            </w:r>
          </w:p>
        </w:tc>
        <w:tc>
          <w:tcPr>
            <w:tcW w:w="7514" w:type="dxa"/>
            <w:gridSpan w:val="3"/>
            <w:tcBorders>
              <w:top w:val="single" w:color="000000" w:sz="4" w:space="0"/>
              <w:left w:val="single" w:color="000000" w:sz="4" w:space="0"/>
              <w:bottom w:val="single" w:color="auto" w:sz="12" w:space="0"/>
              <w:right w:val="single" w:color="auto" w:sz="12" w:space="0"/>
            </w:tcBorders>
            <w:noWrap/>
            <w:vAlign w:val="center"/>
          </w:tcPr>
          <w:p>
            <w:pPr>
              <w:widowControl/>
              <w:jc w:val="center"/>
              <w:textAlignment w:val="center"/>
              <w:rPr>
                <w:rFonts w:ascii="Times New Roman" w:hAnsi="Times New Roman" w:cs="Times New Roman"/>
                <w:kern w:val="0"/>
                <w:szCs w:val="21"/>
                <w:lang w:bidi="ar"/>
              </w:rPr>
            </w:pPr>
            <w:r>
              <w:rPr>
                <w:rFonts w:ascii="Times New Roman" w:hAnsi="Times New Roman" w:cs="Times New Roman"/>
                <w:kern w:val="0"/>
                <w:szCs w:val="21"/>
                <w:lang w:bidi="ar"/>
              </w:rPr>
              <w:t>74.22</w:t>
            </w:r>
          </w:p>
        </w:tc>
      </w:tr>
    </w:tbl>
    <w:p>
      <w:pPr>
        <w:pStyle w:val="3"/>
        <w:rPr>
          <w:rFonts w:asciiTheme="minorEastAsia" w:hAnsiTheme="minorEastAsia" w:eastAsiaTheme="minorEastAsia" w:cstheme="minorEastAsia"/>
        </w:rPr>
      </w:pPr>
    </w:p>
    <w:p>
      <w:pPr>
        <w:rPr>
          <w:u w:val="thick"/>
        </w:rPr>
      </w:pPr>
    </w:p>
    <w:p>
      <w:pPr>
        <w:rPr>
          <w:u w:val="thick"/>
        </w:rPr>
      </w:pPr>
    </w:p>
    <w:p/>
    <w:p>
      <w:pPr>
        <w:rPr>
          <w:u w:val="thick"/>
        </w:rPr>
        <w:sectPr>
          <w:footerReference r:id="rId19" w:type="default"/>
          <w:footerReference r:id="rId20" w:type="even"/>
          <w:pgSz w:w="11906" w:h="16838"/>
          <w:pgMar w:top="1134" w:right="1134" w:bottom="1134" w:left="1134" w:header="851" w:footer="992" w:gutter="0"/>
          <w:cols w:space="425" w:num="1"/>
          <w:docGrid w:linePitch="312" w:charSpace="0"/>
        </w:sectPr>
      </w:pPr>
      <w:r>
        <w:t xml:space="preserve">                               </w:t>
      </w:r>
      <w:r>
        <w:rPr>
          <w:u w:val="thick"/>
        </w:rPr>
        <w:t xml:space="preserve"> </w:t>
      </w:r>
      <w:r>
        <w:rPr>
          <w:rFonts w:hint="eastAsia"/>
          <w:u w:val="thick"/>
        </w:rPr>
        <w:t xml:space="preserve">                          </w:t>
      </w:r>
    </w:p>
    <w:p/>
    <w:p/>
    <w:p/>
    <w:p/>
    <w:p/>
    <w:p>
      <w:r>
        <w:rPr>
          <w:rFonts w:hint="eastAsia"/>
        </w:rPr>
        <mc:AlternateContent>
          <mc:Choice Requires="wps">
            <w:drawing>
              <wp:anchor distT="0" distB="0" distL="114300" distR="114300" simplePos="0" relativeHeight="251679744" behindDoc="0" locked="0" layoutInCell="1" allowOverlap="1">
                <wp:simplePos x="0" y="0"/>
                <wp:positionH relativeFrom="column">
                  <wp:posOffset>5675630</wp:posOffset>
                </wp:positionH>
                <wp:positionV relativeFrom="paragraph">
                  <wp:posOffset>73025</wp:posOffset>
                </wp:positionV>
                <wp:extent cx="516890" cy="1757045"/>
                <wp:effectExtent l="5080" t="4445" r="11430" b="6350"/>
                <wp:wrapNone/>
                <wp:docPr id="785920591" name="文本框 785920591"/>
                <wp:cNvGraphicFramePr/>
                <a:graphic xmlns:a="http://schemas.openxmlformats.org/drawingml/2006/main">
                  <a:graphicData uri="http://schemas.microsoft.com/office/word/2010/wordprocessingShape">
                    <wps:wsp>
                      <wps:cNvSpPr txBox="true"/>
                      <wps:spPr>
                        <a:xfrm>
                          <a:off x="0" y="0"/>
                          <a:ext cx="516834" cy="175696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rPr>
                              <w:t>5</w:t>
                            </w:r>
                          </w:p>
                        </w:txbxContent>
                      </wps:txbx>
                      <wps:bodyPr rot="0" spcFirstLastPara="0" vertOverflow="overflow" horzOverflow="overflow" vert="vert270"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446.9pt;margin-top:5.75pt;height:138.35pt;width:40.7pt;z-index:251679744;mso-width-relative:page;mso-height-relative:page;" fillcolor="#FFFFFF [3201]" filled="t" stroked="t" coordsize="21600,21600" o:gfxdata="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WAAAAZHJzL1BLAQIUABQAAAAI&#10;AIdO4kBRW6GA2QAAAAoBAAAPAAAAAAAAAAEAIAAAADgAAABkcnMvZG93bnJldi54bWxQSwECFAAU&#10;AAAACACHTuJAY5BH4EwCAACdBAAADgAAAAAAAAABACAAAAA+AQAAZHJzL2Uyb0RvYy54bWxQSwUG&#10;AAAAAAYABgBZAQAA/AUAAAAA&#10;">
                <v:fill on="t" focussize="0,0"/>
                <v:stroke weight="0.5pt" color="#FFFFFF [3212]" joinstyle="round"/>
                <v:imagedata o:title=""/>
                <o:lock v:ext="edit" aspectratio="f"/>
                <v:textbox style="layout-flow:vertical;mso-layout-flow-alt:bottom-to-top;">
                  <w:txbxContent>
                    <w:p>
                      <w:pPr>
                        <w:rPr>
                          <w:rFonts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rPr>
                        <w:t>5</w:t>
                      </w:r>
                    </w:p>
                  </w:txbxContent>
                </v:textbox>
              </v:shape>
            </w:pict>
          </mc:Fallback>
        </mc:AlternateContent>
      </w:r>
    </w:p>
    <w:p/>
    <w:p/>
    <w:p/>
    <w:p/>
    <w:p/>
    <w:p/>
    <w:p/>
    <w:p/>
    <w:p/>
    <w:p/>
    <w:p/>
    <w:p/>
    <w:p/>
    <w:p/>
    <w:p>
      <w:pPr>
        <w:ind w:firstLine="562"/>
        <w:jc w:val="center"/>
        <w:rPr>
          <w:b/>
          <w:sz w:val="28"/>
          <w:szCs w:val="28"/>
        </w:rPr>
      </w:pPr>
      <w:r>
        <w:rPr>
          <w:rFonts w:hint="eastAsia"/>
          <w:b/>
          <w:sz w:val="28"/>
          <w:szCs w:val="28"/>
        </w:rPr>
        <w:t>吉林省地方计量技术规范</w:t>
      </w:r>
    </w:p>
    <w:p>
      <w:pPr>
        <w:ind w:firstLine="422"/>
        <w:jc w:val="center"/>
        <w:rPr>
          <w:b/>
        </w:rPr>
      </w:pPr>
      <w:r>
        <w:rPr>
          <w:b/>
        </w:rPr>
        <w:t>XXXX</w:t>
      </w:r>
      <w:r>
        <w:rPr>
          <w:rFonts w:hint="eastAsia"/>
          <w:b/>
        </w:rPr>
        <w:t>校准规范</w:t>
      </w:r>
    </w:p>
    <w:p>
      <w:pPr>
        <w:ind w:firstLine="420"/>
        <w:jc w:val="center"/>
        <w:rPr>
          <w:szCs w:val="21"/>
        </w:rPr>
      </w:pPr>
      <w:r>
        <w:rPr>
          <w:rFonts w:hint="eastAsia" w:ascii="宋体" w:hAnsi="宋体"/>
          <w:szCs w:val="21"/>
        </w:rPr>
        <w:t>JJF（吉）</w:t>
      </w:r>
      <w:r>
        <w:t xml:space="preserve"> </w:t>
      </w:r>
      <w:r>
        <w:rPr>
          <w:rFonts w:ascii="宋体" w:hAnsi="宋体"/>
          <w:szCs w:val="21"/>
        </w:rPr>
        <w:t>XX</w:t>
      </w:r>
      <w:r>
        <w:rPr>
          <w:rFonts w:hint="eastAsia" w:ascii="宋体" w:hAnsi="宋体"/>
          <w:b/>
          <w:szCs w:val="21"/>
        </w:rPr>
        <w:t>—</w:t>
      </w:r>
      <w:r>
        <w:rPr>
          <w:rFonts w:hint="eastAsia" w:ascii="宋体" w:hAnsi="宋体"/>
          <w:szCs w:val="21"/>
        </w:rPr>
        <w:t>202</w:t>
      </w:r>
      <w:r>
        <w:rPr>
          <w:rFonts w:ascii="宋体" w:hAnsi="宋体"/>
          <w:szCs w:val="21"/>
        </w:rPr>
        <w:t>X</w:t>
      </w:r>
    </w:p>
    <w:p>
      <w:pPr>
        <w:ind w:firstLine="420"/>
        <w:jc w:val="center"/>
        <w:rPr>
          <w:szCs w:val="21"/>
        </w:rPr>
      </w:pPr>
      <w:r>
        <w:rPr>
          <w:rFonts w:hint="eastAsia"/>
          <w:szCs w:val="21"/>
        </w:rPr>
        <w:t>吉林省市场监督管理厅发布</w:t>
      </w:r>
    </w:p>
    <w:p>
      <w:pPr>
        <w:ind w:firstLine="420"/>
        <w:jc w:val="center"/>
        <w:rPr>
          <w:rFonts w:ascii="宋体" w:hAnsi="宋体" w:cs="Times New Roman"/>
          <w:szCs w:val="24"/>
        </w:rPr>
      </w:pPr>
      <w:r>
        <w:rPr>
          <w:rFonts w:hint="eastAsia" w:ascii="宋体" w:hAnsi="宋体" w:cs="Times New Roman"/>
          <w:szCs w:val="24"/>
        </w:rPr>
        <w:t>﹡</w:t>
      </w:r>
    </w:p>
    <w:p>
      <w:pPr>
        <w:ind w:firstLine="420"/>
        <w:jc w:val="center"/>
        <w:rPr>
          <w:rFonts w:ascii="宋体" w:hAnsi="宋体" w:cs="Times New Roman"/>
          <w:szCs w:val="24"/>
        </w:rPr>
      </w:pPr>
    </w:p>
    <w:p>
      <w:pPr>
        <w:ind w:firstLine="420"/>
        <w:jc w:val="center"/>
        <w:rPr>
          <w:szCs w:val="21"/>
        </w:rPr>
      </w:pPr>
      <w:r>
        <w:rPr>
          <w:rFonts w:hint="eastAsia"/>
          <w:szCs w:val="21"/>
        </w:rPr>
        <w:t>版权所有  不得翻印</w:t>
      </w:r>
    </w:p>
    <w:p>
      <w:pPr>
        <w:ind w:firstLine="420"/>
        <w:jc w:val="center"/>
        <w:rPr>
          <w:rFonts w:asciiTheme="minorEastAsia" w:hAnsiTheme="minorEastAsia"/>
          <w:szCs w:val="21"/>
        </w:rPr>
      </w:pPr>
      <w:r>
        <w:rPr>
          <w:rFonts w:hint="eastAsia" w:asciiTheme="minorEastAsia" w:hAnsiTheme="minorEastAsia"/>
          <w:szCs w:val="21"/>
        </w:rPr>
        <w:t>297㎜×210㎜ A4纸</w:t>
      </w:r>
    </w:p>
    <w:p>
      <w:pPr>
        <w:ind w:firstLine="420"/>
        <w:jc w:val="center"/>
      </w:pPr>
      <w:r>
        <w:rPr>
          <w:rFonts w:hint="eastAsia" w:asciiTheme="minorEastAsia" w:hAnsiTheme="minorEastAsia"/>
          <w:szCs w:val="21"/>
        </w:rPr>
        <w:t>202</w:t>
      </w:r>
      <w:r>
        <w:rPr>
          <w:rFonts w:ascii="宋体" w:hAnsi="宋体"/>
          <w:szCs w:val="21"/>
        </w:rPr>
        <w:t>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版    202</w:t>
      </w:r>
      <w:r>
        <w:rPr>
          <w:rFonts w:ascii="宋体" w:hAnsi="宋体"/>
          <w:szCs w:val="21"/>
        </w:rPr>
        <w:t xml:space="preserve"> 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次印刷</w:t>
      </w: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sectPr>
      <w:footerReference r:id="rId23" w:type="first"/>
      <w:footerReference r:id="rId21" w:type="default"/>
      <w:footerReference r:id="rId22" w:type="even"/>
      <w:pgSz w:w="11906" w:h="16838"/>
      <w:pgMar w:top="1361" w:right="1134" w:bottom="1361" w:left="1418" w:header="850" w:footer="992" w:gutter="0"/>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Calibri Light">
    <w:altName w:val="DejaVu Sans"/>
    <w:panose1 w:val="020F0302020204030204"/>
    <w:charset w:val="00"/>
    <w:family w:val="swiss"/>
    <w:pitch w:val="default"/>
    <w:sig w:usb0="00000000" w:usb1="00000000" w:usb2="00000000"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公文小标宋">
    <w:altName w:val="方正小标宋_GBK"/>
    <w:panose1 w:val="00000000000000000000"/>
    <w:charset w:val="86"/>
    <w:family w:val="auto"/>
    <w:pitch w:val="default"/>
    <w:sig w:usb0="00000000" w:usb1="00000000" w:usb2="00000016" w:usb3="00000000" w:csb0="00040001"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00000001" w:usb1="08000000" w:usb2="00000000" w:usb3="00000000" w:csb0="00040000" w:csb1="00000000"/>
  </w:font>
  <w:font w:name="Cambria Math">
    <w:altName w:val="DejaVu Math TeX Gyre"/>
    <w:panose1 w:val="02040503050406030204"/>
    <w:charset w:val="00"/>
    <w:family w:val="roman"/>
    <w:pitch w:val="default"/>
    <w:sig w:usb0="00000000" w:usb1="00000000" w:usb2="00000000" w:usb3="00000000" w:csb0="0000019F" w:csb1="00000000"/>
  </w:font>
  <w:font w:name="DejaVu Math TeX Gyre">
    <w:panose1 w:val="02000503000000000000"/>
    <w:charset w:val="00"/>
    <w:family w:val="auto"/>
    <w:pitch w:val="default"/>
    <w:sig w:usb0="A10000EF" w:usb1="4201F9EE" w:usb2="02000000" w:usb3="00000000" w:csb0="60000193" w:csb1="0DD4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12"/>
      <w:rPr>
        <w:rFonts w:hint="eastAsia" w:ascii="Times New Roman" w:hAnsi="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9111"/>
      <w:rPr>
        <w:rFonts w:ascii="宋体" w:hAnsi="宋体" w:eastAsia="宋体" w:cs="宋体"/>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BmQkFgIAABkEAAAOAAAAZHJz&#10;L2Uyb0RvYy54bWytU8uO0zAU3SPxD5b3NGkRM1X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CAZkJBYCAAAZBAAADgAAAAAAAAABACAAAAA1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25</w:t>
                    </w:r>
                    <w:r>
                      <w:fldChar w:fldCharType="end"/>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jc w:val="cente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bzTZ+KgBAABCAwAADgAAAAAAAAABACAAAAA0AQAAZHJzL2Uyb0RvYy54bWxQSwUGAAAA&#10;AAYABgBZAQAATgUAAAAA&#10;">
              <v:fill on="f" focussize="0,0"/>
              <v:stroke on="f"/>
              <v:imagedata o:title=""/>
              <o:lock v:ext="edit" aspectratio="f"/>
              <v:textbox inset="0mm,0mm,0mm,0mm" style="mso-fit-shape-to-text:t;">
                <w:txbxContent>
                  <w:p>
                    <w:pPr>
                      <w:pStyle w:val="6"/>
                      <w:jc w:val="cente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180" w:firstLine="360"/>
      <w:jc w:val="right"/>
    </w:pPr>
    <w:r>
      <mc:AlternateContent>
        <mc:Choice Requires="wps">
          <w:drawing>
            <wp:anchor distT="0" distB="0" distL="114300" distR="114300" simplePos="0" relativeHeight="251680768" behindDoc="0" locked="0" layoutInCell="1" allowOverlap="1">
              <wp:simplePos x="0" y="0"/>
              <wp:positionH relativeFrom="margin">
                <wp:align>left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076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uix5FQ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KEsM0dnT69vX0/fH04wuB&#10;DQC1LswQt3aIjN0b21U0+r0YXAH2NHonvU5fDEUQArSPF4RFFwmHcTydTKclXBy+QUGJ4ul350N8&#10;K6wmSaioxwozsuxwF+I5dAhJ1YxdNUrlNSpD2opevXxd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vuix5FQIAABs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81792" behindDoc="0" locked="0" layoutInCell="1" allowOverlap="1">
              <wp:simplePos x="0" y="0"/>
              <wp:positionH relativeFrom="margin">
                <wp:align>left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179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7fgaMUAgAAGwQAAA4AAAAAAAAAAQAgAAAANQ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180" w:firstLine="360"/>
      <w:jc w:val="right"/>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Dj2kFgIAABsEAAAOAAAAZHJz&#10;L2Uyb0RvYy54bWytU8uO0zAU3SPxD5b3NGkRQ1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OA49pBYCAAAbBAAADgAAAAAAAAABACAAAAA1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180" w:firstLine="360"/>
      <w:jc w:val="right"/>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kPadVhYCAAAZBAAADgAAAAAAAAABACAAAAA1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Gn4zeFgIAABkEAAAOAAAAZHJz&#10;L2Uyb0RvYy54bWytU8uO0zAU3SPxD5b3NGkRo07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Bp+M3hYCAAAZBAAADgAAAAAAAAABACAAAAA1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p>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ADFED"/>
    <w:multiLevelType w:val="singleLevel"/>
    <w:tmpl w:val="BEBADFED"/>
    <w:lvl w:ilvl="0" w:tentative="0">
      <w:start w:val="1"/>
      <w:numFmt w:val="lowerLetter"/>
      <w:suff w:val="space"/>
      <w:lvlText w:val="%1)"/>
      <w:lvlJc w:val="left"/>
    </w:lvl>
  </w:abstractNum>
  <w:abstractNum w:abstractNumId="1">
    <w:nsid w:val="2109106A"/>
    <w:multiLevelType w:val="multilevel"/>
    <w:tmpl w:val="2109106A"/>
    <w:lvl w:ilvl="0" w:tentative="0">
      <w:start w:val="1"/>
      <w:numFmt w:val="decimal"/>
      <w:lvlText w:val="%1"/>
      <w:lvlJc w:val="left"/>
      <w:pPr>
        <w:ind w:left="1637" w:hanging="360"/>
      </w:pPr>
      <w:rPr>
        <w:rFonts w:hint="default" w:cs="Times New Roman"/>
      </w:rPr>
    </w:lvl>
    <w:lvl w:ilvl="1" w:tentative="0">
      <w:start w:val="1"/>
      <w:numFmt w:val="decimal"/>
      <w:isLgl/>
      <w:lvlText w:val="%1.%2"/>
      <w:lvlJc w:val="left"/>
      <w:pPr>
        <w:ind w:left="420" w:hanging="4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
    <w:nsid w:val="35122D6F"/>
    <w:multiLevelType w:val="multilevel"/>
    <w:tmpl w:val="35122D6F"/>
    <w:lvl w:ilvl="0" w:tentative="0">
      <w:start w:val="1"/>
      <w:numFmt w:val="decimal"/>
      <w:pStyle w:val="27"/>
      <w:lvlText w:val="%1"/>
      <w:lvlJc w:val="left"/>
      <w:pPr>
        <w:tabs>
          <w:tab w:val="left" w:pos="580"/>
        </w:tabs>
        <w:ind w:left="580" w:hanging="360"/>
      </w:pPr>
      <w:rPr>
        <w:rFonts w:hint="default"/>
      </w:rPr>
    </w:lvl>
    <w:lvl w:ilvl="1" w:tentative="0">
      <w:start w:val="3"/>
      <w:numFmt w:val="decimal"/>
      <w:isLgl/>
      <w:lvlText w:val="%1.%2"/>
      <w:lvlJc w:val="left"/>
      <w:pPr>
        <w:tabs>
          <w:tab w:val="left" w:pos="580"/>
        </w:tabs>
        <w:ind w:left="580" w:hanging="360"/>
      </w:pPr>
      <w:rPr>
        <w:rFonts w:hint="eastAsia"/>
      </w:rPr>
    </w:lvl>
    <w:lvl w:ilvl="2" w:tentative="0">
      <w:start w:val="1"/>
      <w:numFmt w:val="decimal"/>
      <w:isLgl/>
      <w:lvlText w:val="%1.%2.%3"/>
      <w:lvlJc w:val="left"/>
      <w:pPr>
        <w:tabs>
          <w:tab w:val="left" w:pos="940"/>
        </w:tabs>
        <w:ind w:left="940" w:hanging="720"/>
      </w:pPr>
      <w:rPr>
        <w:rFonts w:hint="eastAsia"/>
      </w:rPr>
    </w:lvl>
    <w:lvl w:ilvl="3" w:tentative="0">
      <w:start w:val="1"/>
      <w:numFmt w:val="decimal"/>
      <w:isLgl/>
      <w:lvlText w:val="%1.%2.%3.%4"/>
      <w:lvlJc w:val="left"/>
      <w:pPr>
        <w:tabs>
          <w:tab w:val="left" w:pos="940"/>
        </w:tabs>
        <w:ind w:left="940" w:hanging="720"/>
      </w:pPr>
      <w:rPr>
        <w:rFonts w:hint="eastAsia"/>
      </w:rPr>
    </w:lvl>
    <w:lvl w:ilvl="4" w:tentative="0">
      <w:start w:val="1"/>
      <w:numFmt w:val="decimal"/>
      <w:isLgl/>
      <w:lvlText w:val="%1.%2.%3.%4.%5"/>
      <w:lvlJc w:val="left"/>
      <w:pPr>
        <w:tabs>
          <w:tab w:val="left" w:pos="1300"/>
        </w:tabs>
        <w:ind w:left="1300" w:hanging="1080"/>
      </w:pPr>
      <w:rPr>
        <w:rFonts w:hint="eastAsia"/>
      </w:rPr>
    </w:lvl>
    <w:lvl w:ilvl="5" w:tentative="0">
      <w:start w:val="1"/>
      <w:numFmt w:val="decimal"/>
      <w:isLgl/>
      <w:lvlText w:val="%1.%2.%3.%4.%5.%6"/>
      <w:lvlJc w:val="left"/>
      <w:pPr>
        <w:tabs>
          <w:tab w:val="left" w:pos="1300"/>
        </w:tabs>
        <w:ind w:left="1300" w:hanging="1080"/>
      </w:pPr>
      <w:rPr>
        <w:rFonts w:hint="eastAsia"/>
      </w:rPr>
    </w:lvl>
    <w:lvl w:ilvl="6" w:tentative="0">
      <w:start w:val="1"/>
      <w:numFmt w:val="decimal"/>
      <w:isLgl/>
      <w:lvlText w:val="%1.%2.%3.%4.%5.%6.%7"/>
      <w:lvlJc w:val="left"/>
      <w:pPr>
        <w:tabs>
          <w:tab w:val="left" w:pos="1660"/>
        </w:tabs>
        <w:ind w:left="1660" w:hanging="1440"/>
      </w:pPr>
      <w:rPr>
        <w:rFonts w:hint="eastAsia"/>
      </w:rPr>
    </w:lvl>
    <w:lvl w:ilvl="7" w:tentative="0">
      <w:start w:val="1"/>
      <w:numFmt w:val="decimal"/>
      <w:isLgl/>
      <w:lvlText w:val="%1.%2.%3.%4.%5.%6.%7.%8"/>
      <w:lvlJc w:val="left"/>
      <w:pPr>
        <w:tabs>
          <w:tab w:val="left" w:pos="1660"/>
        </w:tabs>
        <w:ind w:left="1660" w:hanging="1440"/>
      </w:pPr>
      <w:rPr>
        <w:rFonts w:hint="eastAsia"/>
      </w:rPr>
    </w:lvl>
    <w:lvl w:ilvl="8" w:tentative="0">
      <w:start w:val="1"/>
      <w:numFmt w:val="decimal"/>
      <w:isLgl/>
      <w:lvlText w:val="%1.%2.%3.%4.%5.%6.%7.%8.%9"/>
      <w:lvlJc w:val="left"/>
      <w:pPr>
        <w:tabs>
          <w:tab w:val="left" w:pos="2020"/>
        </w:tabs>
        <w:ind w:left="2020" w:hanging="1800"/>
      </w:pPr>
      <w:rPr>
        <w:rFonts w:hint="eastAsia"/>
      </w:rPr>
    </w:lvl>
  </w:abstractNum>
  <w:abstractNum w:abstractNumId="3">
    <w:nsid w:val="6D83112A"/>
    <w:multiLevelType w:val="multilevel"/>
    <w:tmpl w:val="6D83112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420"/>
  <w:evenAndOddHeaders w:val="true"/>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91"/>
    <w:rsid w:val="00015806"/>
    <w:rsid w:val="000174E1"/>
    <w:rsid w:val="00025223"/>
    <w:rsid w:val="00030E67"/>
    <w:rsid w:val="00047EC6"/>
    <w:rsid w:val="00054F47"/>
    <w:rsid w:val="00057E93"/>
    <w:rsid w:val="00064038"/>
    <w:rsid w:val="00073C2A"/>
    <w:rsid w:val="000811BC"/>
    <w:rsid w:val="000836E3"/>
    <w:rsid w:val="000A7B05"/>
    <w:rsid w:val="000B421C"/>
    <w:rsid w:val="000C319A"/>
    <w:rsid w:val="000C6846"/>
    <w:rsid w:val="000C7A42"/>
    <w:rsid w:val="000E243D"/>
    <w:rsid w:val="00104091"/>
    <w:rsid w:val="001124F9"/>
    <w:rsid w:val="001408F6"/>
    <w:rsid w:val="001538F6"/>
    <w:rsid w:val="00157C37"/>
    <w:rsid w:val="001674F7"/>
    <w:rsid w:val="00170BBD"/>
    <w:rsid w:val="00172349"/>
    <w:rsid w:val="00174AC5"/>
    <w:rsid w:val="00184CE5"/>
    <w:rsid w:val="00193DAC"/>
    <w:rsid w:val="001960FD"/>
    <w:rsid w:val="001C4B1D"/>
    <w:rsid w:val="001C61AA"/>
    <w:rsid w:val="001C6B8E"/>
    <w:rsid w:val="001D1D83"/>
    <w:rsid w:val="001D2D87"/>
    <w:rsid w:val="001D324B"/>
    <w:rsid w:val="001E08BF"/>
    <w:rsid w:val="001E3A9B"/>
    <w:rsid w:val="001F4156"/>
    <w:rsid w:val="00200DBC"/>
    <w:rsid w:val="00201106"/>
    <w:rsid w:val="002016DF"/>
    <w:rsid w:val="00207BE3"/>
    <w:rsid w:val="00221AA5"/>
    <w:rsid w:val="00225DAA"/>
    <w:rsid w:val="0023298A"/>
    <w:rsid w:val="00233E1A"/>
    <w:rsid w:val="00244823"/>
    <w:rsid w:val="002474B4"/>
    <w:rsid w:val="00280281"/>
    <w:rsid w:val="00281CD4"/>
    <w:rsid w:val="00285EDD"/>
    <w:rsid w:val="00293B41"/>
    <w:rsid w:val="002A477B"/>
    <w:rsid w:val="002B55C0"/>
    <w:rsid w:val="002B683A"/>
    <w:rsid w:val="002C2D29"/>
    <w:rsid w:val="002C3BDC"/>
    <w:rsid w:val="002C443B"/>
    <w:rsid w:val="002D00D7"/>
    <w:rsid w:val="002D10A6"/>
    <w:rsid w:val="002D7694"/>
    <w:rsid w:val="002E4E54"/>
    <w:rsid w:val="002F31AF"/>
    <w:rsid w:val="00301497"/>
    <w:rsid w:val="0033679C"/>
    <w:rsid w:val="00337B3F"/>
    <w:rsid w:val="003548D2"/>
    <w:rsid w:val="00383493"/>
    <w:rsid w:val="003850BF"/>
    <w:rsid w:val="00387805"/>
    <w:rsid w:val="003B7F5A"/>
    <w:rsid w:val="003D11A1"/>
    <w:rsid w:val="003D3852"/>
    <w:rsid w:val="003D4FF5"/>
    <w:rsid w:val="003D78FD"/>
    <w:rsid w:val="003E315F"/>
    <w:rsid w:val="003E3CD8"/>
    <w:rsid w:val="00401E2B"/>
    <w:rsid w:val="00403C47"/>
    <w:rsid w:val="004069E7"/>
    <w:rsid w:val="0041065E"/>
    <w:rsid w:val="00432CAE"/>
    <w:rsid w:val="00434D80"/>
    <w:rsid w:val="0043584C"/>
    <w:rsid w:val="00442680"/>
    <w:rsid w:val="0045494D"/>
    <w:rsid w:val="00454F56"/>
    <w:rsid w:val="004616C8"/>
    <w:rsid w:val="00463F6B"/>
    <w:rsid w:val="004775D6"/>
    <w:rsid w:val="004972EE"/>
    <w:rsid w:val="004A30DE"/>
    <w:rsid w:val="004A3F9B"/>
    <w:rsid w:val="004A45DF"/>
    <w:rsid w:val="004C5705"/>
    <w:rsid w:val="004C7359"/>
    <w:rsid w:val="004D0539"/>
    <w:rsid w:val="004E27D2"/>
    <w:rsid w:val="00505A0D"/>
    <w:rsid w:val="005261CF"/>
    <w:rsid w:val="00532761"/>
    <w:rsid w:val="0053348E"/>
    <w:rsid w:val="00535F06"/>
    <w:rsid w:val="0053731F"/>
    <w:rsid w:val="00540C67"/>
    <w:rsid w:val="005511D6"/>
    <w:rsid w:val="00554816"/>
    <w:rsid w:val="00557568"/>
    <w:rsid w:val="00560F59"/>
    <w:rsid w:val="005832F6"/>
    <w:rsid w:val="00586311"/>
    <w:rsid w:val="00590F52"/>
    <w:rsid w:val="005A3DE9"/>
    <w:rsid w:val="005B1A79"/>
    <w:rsid w:val="005B7FED"/>
    <w:rsid w:val="005C7768"/>
    <w:rsid w:val="005D7FC1"/>
    <w:rsid w:val="005F58DD"/>
    <w:rsid w:val="00605291"/>
    <w:rsid w:val="00607417"/>
    <w:rsid w:val="006354B9"/>
    <w:rsid w:val="00635FC1"/>
    <w:rsid w:val="00640B72"/>
    <w:rsid w:val="006422B7"/>
    <w:rsid w:val="00644440"/>
    <w:rsid w:val="00655A25"/>
    <w:rsid w:val="006615C5"/>
    <w:rsid w:val="00666483"/>
    <w:rsid w:val="00671489"/>
    <w:rsid w:val="006863E4"/>
    <w:rsid w:val="00692005"/>
    <w:rsid w:val="006B4471"/>
    <w:rsid w:val="006B4F4B"/>
    <w:rsid w:val="006C10FA"/>
    <w:rsid w:val="006D5D3B"/>
    <w:rsid w:val="006F060D"/>
    <w:rsid w:val="00701647"/>
    <w:rsid w:val="00702706"/>
    <w:rsid w:val="00724272"/>
    <w:rsid w:val="00725A59"/>
    <w:rsid w:val="0074132A"/>
    <w:rsid w:val="00756AAA"/>
    <w:rsid w:val="00767169"/>
    <w:rsid w:val="00770421"/>
    <w:rsid w:val="00770E50"/>
    <w:rsid w:val="0078405B"/>
    <w:rsid w:val="007853C0"/>
    <w:rsid w:val="0079081C"/>
    <w:rsid w:val="00792DC4"/>
    <w:rsid w:val="00794CFA"/>
    <w:rsid w:val="007956A8"/>
    <w:rsid w:val="007A0806"/>
    <w:rsid w:val="007B22EC"/>
    <w:rsid w:val="007C7CEE"/>
    <w:rsid w:val="007E668B"/>
    <w:rsid w:val="007F5860"/>
    <w:rsid w:val="008046BB"/>
    <w:rsid w:val="00821064"/>
    <w:rsid w:val="008267D9"/>
    <w:rsid w:val="00842CF3"/>
    <w:rsid w:val="00846E0F"/>
    <w:rsid w:val="00870EB8"/>
    <w:rsid w:val="00873855"/>
    <w:rsid w:val="00881FD0"/>
    <w:rsid w:val="00884742"/>
    <w:rsid w:val="008856F4"/>
    <w:rsid w:val="0089162F"/>
    <w:rsid w:val="00896974"/>
    <w:rsid w:val="008B7D18"/>
    <w:rsid w:val="008E1DF7"/>
    <w:rsid w:val="008F4732"/>
    <w:rsid w:val="00900FC4"/>
    <w:rsid w:val="009209A2"/>
    <w:rsid w:val="009269A2"/>
    <w:rsid w:val="00926A24"/>
    <w:rsid w:val="00935689"/>
    <w:rsid w:val="00936242"/>
    <w:rsid w:val="0096119A"/>
    <w:rsid w:val="009D1E34"/>
    <w:rsid w:val="009E1A96"/>
    <w:rsid w:val="009F3D5F"/>
    <w:rsid w:val="009F63B1"/>
    <w:rsid w:val="00A0103F"/>
    <w:rsid w:val="00A14579"/>
    <w:rsid w:val="00A30C66"/>
    <w:rsid w:val="00A30F7E"/>
    <w:rsid w:val="00A43020"/>
    <w:rsid w:val="00A51C89"/>
    <w:rsid w:val="00A57EA0"/>
    <w:rsid w:val="00A7098A"/>
    <w:rsid w:val="00A71C29"/>
    <w:rsid w:val="00A8006B"/>
    <w:rsid w:val="00A9697D"/>
    <w:rsid w:val="00A96FBB"/>
    <w:rsid w:val="00AA78B4"/>
    <w:rsid w:val="00AB5A16"/>
    <w:rsid w:val="00AB7590"/>
    <w:rsid w:val="00AD5A98"/>
    <w:rsid w:val="00AD7E52"/>
    <w:rsid w:val="00B0093B"/>
    <w:rsid w:val="00B05BDA"/>
    <w:rsid w:val="00B22174"/>
    <w:rsid w:val="00B312BE"/>
    <w:rsid w:val="00B353E1"/>
    <w:rsid w:val="00B45B57"/>
    <w:rsid w:val="00B54232"/>
    <w:rsid w:val="00B615FE"/>
    <w:rsid w:val="00B656FC"/>
    <w:rsid w:val="00B67623"/>
    <w:rsid w:val="00B809C0"/>
    <w:rsid w:val="00BA58FD"/>
    <w:rsid w:val="00BC797B"/>
    <w:rsid w:val="00BD4AE4"/>
    <w:rsid w:val="00BD57DC"/>
    <w:rsid w:val="00BD7036"/>
    <w:rsid w:val="00C00E82"/>
    <w:rsid w:val="00C04429"/>
    <w:rsid w:val="00C133D7"/>
    <w:rsid w:val="00C16F17"/>
    <w:rsid w:val="00C4557E"/>
    <w:rsid w:val="00C47C57"/>
    <w:rsid w:val="00C6295B"/>
    <w:rsid w:val="00C67C6C"/>
    <w:rsid w:val="00C767C3"/>
    <w:rsid w:val="00C9159C"/>
    <w:rsid w:val="00C9513B"/>
    <w:rsid w:val="00CB2CD5"/>
    <w:rsid w:val="00CC1983"/>
    <w:rsid w:val="00CE7578"/>
    <w:rsid w:val="00CF02C4"/>
    <w:rsid w:val="00D11F94"/>
    <w:rsid w:val="00D1621E"/>
    <w:rsid w:val="00D26935"/>
    <w:rsid w:val="00D5473F"/>
    <w:rsid w:val="00D611FB"/>
    <w:rsid w:val="00D72B7D"/>
    <w:rsid w:val="00D74596"/>
    <w:rsid w:val="00D75934"/>
    <w:rsid w:val="00D84BC8"/>
    <w:rsid w:val="00D855B3"/>
    <w:rsid w:val="00D87B75"/>
    <w:rsid w:val="00D9438B"/>
    <w:rsid w:val="00D94D1E"/>
    <w:rsid w:val="00DA59A1"/>
    <w:rsid w:val="00DC7F94"/>
    <w:rsid w:val="00DD6F44"/>
    <w:rsid w:val="00DE582E"/>
    <w:rsid w:val="00DF7CFA"/>
    <w:rsid w:val="00E06AB5"/>
    <w:rsid w:val="00E07D62"/>
    <w:rsid w:val="00E244DB"/>
    <w:rsid w:val="00E41B56"/>
    <w:rsid w:val="00E427F6"/>
    <w:rsid w:val="00E445CC"/>
    <w:rsid w:val="00EA0BA9"/>
    <w:rsid w:val="00EA7B21"/>
    <w:rsid w:val="00EB5A17"/>
    <w:rsid w:val="00ED7EAB"/>
    <w:rsid w:val="00EE26DC"/>
    <w:rsid w:val="00EE639F"/>
    <w:rsid w:val="00EF07D9"/>
    <w:rsid w:val="00EF1DE2"/>
    <w:rsid w:val="00F052D6"/>
    <w:rsid w:val="00F05AB7"/>
    <w:rsid w:val="00F0761C"/>
    <w:rsid w:val="00F15453"/>
    <w:rsid w:val="00F46550"/>
    <w:rsid w:val="00F503E1"/>
    <w:rsid w:val="00F5282A"/>
    <w:rsid w:val="00F659B6"/>
    <w:rsid w:val="00F73ECE"/>
    <w:rsid w:val="00F90EB3"/>
    <w:rsid w:val="00FA4A92"/>
    <w:rsid w:val="00FB74D7"/>
    <w:rsid w:val="00FC5420"/>
    <w:rsid w:val="00FD2A4A"/>
    <w:rsid w:val="00FE1497"/>
    <w:rsid w:val="00FF795E"/>
    <w:rsid w:val="01AE3DFF"/>
    <w:rsid w:val="01F42439"/>
    <w:rsid w:val="026F7C59"/>
    <w:rsid w:val="036F40BD"/>
    <w:rsid w:val="03B44E81"/>
    <w:rsid w:val="03BF3A0B"/>
    <w:rsid w:val="0441760E"/>
    <w:rsid w:val="05143745"/>
    <w:rsid w:val="073700E5"/>
    <w:rsid w:val="084D5D97"/>
    <w:rsid w:val="09F71BBA"/>
    <w:rsid w:val="0B6B3217"/>
    <w:rsid w:val="0CBF30C2"/>
    <w:rsid w:val="13AE369B"/>
    <w:rsid w:val="14423DE3"/>
    <w:rsid w:val="163A7468"/>
    <w:rsid w:val="170F26A3"/>
    <w:rsid w:val="1CBD494F"/>
    <w:rsid w:val="1D61177E"/>
    <w:rsid w:val="22D622C7"/>
    <w:rsid w:val="25706A02"/>
    <w:rsid w:val="2665408D"/>
    <w:rsid w:val="27DDBE2A"/>
    <w:rsid w:val="2FE902F2"/>
    <w:rsid w:val="352C77FA"/>
    <w:rsid w:val="357F4A53"/>
    <w:rsid w:val="359C114E"/>
    <w:rsid w:val="36EDFE1D"/>
    <w:rsid w:val="3788765A"/>
    <w:rsid w:val="37D20E57"/>
    <w:rsid w:val="3B5F6231"/>
    <w:rsid w:val="3BAD5861"/>
    <w:rsid w:val="3D624A2B"/>
    <w:rsid w:val="3D850719"/>
    <w:rsid w:val="3DF02037"/>
    <w:rsid w:val="3EFF0A07"/>
    <w:rsid w:val="3EFF85DC"/>
    <w:rsid w:val="3FFEC547"/>
    <w:rsid w:val="41D75031"/>
    <w:rsid w:val="435E76FD"/>
    <w:rsid w:val="43BE2D57"/>
    <w:rsid w:val="4B682E9E"/>
    <w:rsid w:val="4F650674"/>
    <w:rsid w:val="50302767"/>
    <w:rsid w:val="52267139"/>
    <w:rsid w:val="53BC21E4"/>
    <w:rsid w:val="54FF4900"/>
    <w:rsid w:val="569FDF54"/>
    <w:rsid w:val="5931217B"/>
    <w:rsid w:val="5DCF35BF"/>
    <w:rsid w:val="5E6625FE"/>
    <w:rsid w:val="5EC46E9C"/>
    <w:rsid w:val="62C0260D"/>
    <w:rsid w:val="65EC32C5"/>
    <w:rsid w:val="67DF63B8"/>
    <w:rsid w:val="6A164C3B"/>
    <w:rsid w:val="6C9A56E0"/>
    <w:rsid w:val="6D2B0A41"/>
    <w:rsid w:val="6DE2716D"/>
    <w:rsid w:val="747A090D"/>
    <w:rsid w:val="75F962D4"/>
    <w:rsid w:val="7690646B"/>
    <w:rsid w:val="77D9F9AB"/>
    <w:rsid w:val="7AB77C5B"/>
    <w:rsid w:val="7AFB67EA"/>
    <w:rsid w:val="7BAF81A3"/>
    <w:rsid w:val="7BEB1AB4"/>
    <w:rsid w:val="7BF3F65D"/>
    <w:rsid w:val="7BFE7251"/>
    <w:rsid w:val="7C686C61"/>
    <w:rsid w:val="7CEF5DA4"/>
    <w:rsid w:val="7DFFCC1A"/>
    <w:rsid w:val="7EEF45ED"/>
    <w:rsid w:val="7F75AB47"/>
    <w:rsid w:val="7FBA5FD4"/>
    <w:rsid w:val="7FDF34AD"/>
    <w:rsid w:val="7FEFCF6A"/>
    <w:rsid w:val="7FF8C71E"/>
    <w:rsid w:val="8FFD4A09"/>
    <w:rsid w:val="AFFEC0A3"/>
    <w:rsid w:val="B7E73B5A"/>
    <w:rsid w:val="B7FF9913"/>
    <w:rsid w:val="DB6908DA"/>
    <w:rsid w:val="DB9E931D"/>
    <w:rsid w:val="DBFBFD47"/>
    <w:rsid w:val="DBFD88A6"/>
    <w:rsid w:val="DD2DFC93"/>
    <w:rsid w:val="DEFBAA03"/>
    <w:rsid w:val="DFB642F8"/>
    <w:rsid w:val="DFDF7D06"/>
    <w:rsid w:val="E9FF0992"/>
    <w:rsid w:val="ECEFAE1F"/>
    <w:rsid w:val="ED8F5D6A"/>
    <w:rsid w:val="EDFE9603"/>
    <w:rsid w:val="F6FFBF49"/>
    <w:rsid w:val="F7FFE3BC"/>
    <w:rsid w:val="FA3E0465"/>
    <w:rsid w:val="FAF58002"/>
    <w:rsid w:val="FE676019"/>
    <w:rsid w:val="FF9FA007"/>
    <w:rsid w:val="FFBD3178"/>
    <w:rsid w:val="FFEEA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spacing w:beforeLines="50" w:line="360" w:lineRule="auto"/>
      <w:outlineLvl w:val="0"/>
    </w:pPr>
    <w:rPr>
      <w:rFonts w:ascii="黑体" w:hAnsi="黑体" w:eastAsia="黑体"/>
      <w:bCs/>
      <w:kern w:val="44"/>
      <w:sz w:val="2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Cs w:val="21"/>
      <w:lang w:eastAsia="en-US"/>
    </w:rPr>
  </w:style>
  <w:style w:type="paragraph" w:styleId="4">
    <w:name w:val="Date"/>
    <w:basedOn w:val="1"/>
    <w:next w:val="1"/>
    <w:link w:val="26"/>
    <w:semiHidden/>
    <w:unhideWhenUsed/>
    <w:qFormat/>
    <w:uiPriority w:val="99"/>
    <w:pPr>
      <w:ind w:left="100" w:leftChars="2500"/>
    </w:pPr>
  </w:style>
  <w:style w:type="paragraph" w:styleId="5">
    <w:name w:val="Balloon Text"/>
    <w:basedOn w:val="1"/>
    <w:link w:val="17"/>
    <w:semiHidden/>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0"/>
    <w:pPr>
      <w:tabs>
        <w:tab w:val="center" w:pos="4153"/>
        <w:tab w:val="right" w:pos="8306"/>
      </w:tabs>
      <w:snapToGrid w:val="0"/>
      <w:jc w:val="center"/>
    </w:pPr>
    <w:rPr>
      <w:sz w:val="18"/>
      <w:szCs w:val="18"/>
    </w:rPr>
  </w:style>
  <w:style w:type="paragraph" w:styleId="8">
    <w:name w:val="toc 1"/>
    <w:basedOn w:val="1"/>
    <w:next w:val="1"/>
    <w:qFormat/>
    <w:uiPriority w:val="39"/>
    <w:pPr>
      <w:tabs>
        <w:tab w:val="right" w:leader="dot" w:pos="8296"/>
      </w:tabs>
      <w:spacing w:line="360" w:lineRule="auto"/>
    </w:pPr>
    <w:rPr>
      <w:rFonts w:ascii="宋体" w:hAnsi="宋体" w:eastAsia="宋体" w:cs="黑体"/>
      <w:kern w:val="0"/>
      <w:sz w:val="24"/>
      <w:szCs w:val="24"/>
    </w:rPr>
  </w:style>
  <w:style w:type="paragraph" w:styleId="9">
    <w:name w:val="Title"/>
    <w:basedOn w:val="1"/>
    <w:next w:val="1"/>
    <w:link w:val="21"/>
    <w:qFormat/>
    <w:uiPriority w:val="0"/>
    <w:pPr>
      <w:spacing w:before="240" w:after="60" w:line="360" w:lineRule="auto"/>
      <w:ind w:firstLine="200" w:firstLineChars="200"/>
      <w:jc w:val="center"/>
      <w:outlineLvl w:val="0"/>
    </w:pPr>
    <w:rPr>
      <w:rFonts w:eastAsia="黑体" w:asciiTheme="majorHAnsi" w:hAnsiTheme="majorHAnsi" w:cstheme="majorBidi"/>
      <w:b/>
      <w:bCs/>
      <w:sz w:val="32"/>
      <w:szCs w:val="32"/>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Emphasis"/>
    <w:basedOn w:val="12"/>
    <w:qFormat/>
    <w:uiPriority w:val="20"/>
    <w:rPr>
      <w:i/>
    </w:rPr>
  </w:style>
  <w:style w:type="character" w:styleId="15">
    <w:name w:val="line number"/>
    <w:basedOn w:val="12"/>
    <w:semiHidden/>
    <w:unhideWhenUsed/>
    <w:qFormat/>
    <w:uiPriority w:val="99"/>
  </w:style>
  <w:style w:type="character" w:styleId="16">
    <w:name w:val="Hyperlink"/>
    <w:qFormat/>
    <w:uiPriority w:val="99"/>
    <w:rPr>
      <w:color w:val="0000FF"/>
      <w:u w:val="single"/>
    </w:rPr>
  </w:style>
  <w:style w:type="character" w:customStyle="1" w:styleId="17">
    <w:name w:val="批注框文本 Char"/>
    <w:basedOn w:val="12"/>
    <w:link w:val="5"/>
    <w:semiHidden/>
    <w:qFormat/>
    <w:uiPriority w:val="99"/>
    <w:rPr>
      <w:sz w:val="18"/>
      <w:szCs w:val="18"/>
    </w:rPr>
  </w:style>
  <w:style w:type="character" w:customStyle="1" w:styleId="18">
    <w:name w:val="页眉 Char"/>
    <w:basedOn w:val="12"/>
    <w:link w:val="7"/>
    <w:qFormat/>
    <w:uiPriority w:val="99"/>
    <w:rPr>
      <w:sz w:val="18"/>
      <w:szCs w:val="18"/>
    </w:rPr>
  </w:style>
  <w:style w:type="character" w:customStyle="1" w:styleId="19">
    <w:name w:val="页脚 Char"/>
    <w:basedOn w:val="12"/>
    <w:link w:val="6"/>
    <w:qFormat/>
    <w:uiPriority w:val="99"/>
    <w:rPr>
      <w:sz w:val="18"/>
      <w:szCs w:val="18"/>
    </w:rPr>
  </w:style>
  <w:style w:type="character" w:customStyle="1" w:styleId="20">
    <w:name w:val="标题 1 Char"/>
    <w:basedOn w:val="12"/>
    <w:link w:val="2"/>
    <w:qFormat/>
    <w:uiPriority w:val="9"/>
    <w:rPr>
      <w:rFonts w:ascii="黑体" w:hAnsi="黑体" w:eastAsia="黑体"/>
      <w:bCs/>
      <w:kern w:val="44"/>
      <w:sz w:val="24"/>
      <w:szCs w:val="44"/>
    </w:rPr>
  </w:style>
  <w:style w:type="character" w:customStyle="1" w:styleId="21">
    <w:name w:val="标题 Char"/>
    <w:basedOn w:val="12"/>
    <w:link w:val="9"/>
    <w:qFormat/>
    <w:uiPriority w:val="0"/>
    <w:rPr>
      <w:rFonts w:eastAsia="黑体" w:asciiTheme="majorHAnsi" w:hAnsiTheme="majorHAnsi" w:cstheme="majorBidi"/>
      <w:b/>
      <w:bCs/>
      <w:sz w:val="32"/>
      <w:szCs w:val="32"/>
    </w:rPr>
  </w:style>
  <w:style w:type="paragraph" w:styleId="22">
    <w:name w:val="List Paragraph"/>
    <w:basedOn w:val="1"/>
    <w:qFormat/>
    <w:uiPriority w:val="34"/>
    <w:pPr>
      <w:ind w:firstLine="420" w:firstLineChars="200"/>
    </w:pPr>
  </w:style>
  <w:style w:type="paragraph" w:customStyle="1" w:styleId="23">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
    <w:name w:val="段 Char"/>
    <w:link w:val="23"/>
    <w:qFormat/>
    <w:uiPriority w:val="0"/>
    <w:rPr>
      <w:rFonts w:ascii="宋体" w:hAnsi="Times New Roman" w:eastAsia="宋体" w:cs="Times New Roman"/>
      <w:kern w:val="0"/>
      <w:szCs w:val="20"/>
    </w:rPr>
  </w:style>
  <w:style w:type="character" w:styleId="25">
    <w:name w:val="Placeholder Text"/>
    <w:basedOn w:val="12"/>
    <w:semiHidden/>
    <w:qFormat/>
    <w:uiPriority w:val="99"/>
    <w:rPr>
      <w:color w:val="808080"/>
    </w:rPr>
  </w:style>
  <w:style w:type="character" w:customStyle="1" w:styleId="26">
    <w:name w:val="日期 Char"/>
    <w:basedOn w:val="12"/>
    <w:link w:val="4"/>
    <w:semiHidden/>
    <w:qFormat/>
    <w:uiPriority w:val="99"/>
  </w:style>
  <w:style w:type="paragraph" w:customStyle="1" w:styleId="27">
    <w:name w:val="dir1"/>
    <w:basedOn w:val="1"/>
    <w:qFormat/>
    <w:uiPriority w:val="0"/>
    <w:pPr>
      <w:numPr>
        <w:ilvl w:val="0"/>
        <w:numId w:val="1"/>
      </w:numPr>
      <w:spacing w:line="500" w:lineRule="exact"/>
    </w:pPr>
    <w:rPr>
      <w:rFonts w:ascii="黑体" w:eastAsia="黑体"/>
      <w:b/>
      <w:color w:val="000000"/>
      <w:kern w:val="0"/>
      <w:sz w:val="24"/>
    </w:rPr>
  </w:style>
  <w:style w:type="paragraph" w:customStyle="1" w:styleId="28">
    <w:name w:val="Table Text"/>
    <w:basedOn w:val="1"/>
    <w:semiHidden/>
    <w:qFormat/>
    <w:uiPriority w:val="0"/>
    <w:rPr>
      <w:rFonts w:ascii="宋体" w:hAnsi="宋体" w:eastAsia="宋体" w:cs="宋体"/>
      <w:szCs w:val="21"/>
      <w:lang w:eastAsia="en-US"/>
    </w:rPr>
  </w:style>
  <w:style w:type="table" w:customStyle="1" w:styleId="2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emf"/><Relationship Id="rId25" Type="http://schemas.openxmlformats.org/officeDocument/2006/relationships/image" Target="media/image1.jpeg"/><Relationship Id="rId24" Type="http://schemas.openxmlformats.org/officeDocument/2006/relationships/theme" Target="theme/theme1.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34</Pages>
  <Words>8560</Words>
  <Characters>14296</Characters>
  <Lines>2859</Lines>
  <Paragraphs>2856</Paragraphs>
  <TotalTime>4</TotalTime>
  <ScaleCrop>false</ScaleCrop>
  <LinksUpToDate>false</LinksUpToDate>
  <CharactersWithSpaces>20000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2025-10-20T13:06:00Z</dcterms:created>
  <dc:creator>钱俊如</dc:creator>
  <cp:lastModifiedBy>user</cp:lastModifiedBy>
  <cp:lastPrinted>2025-10-20T13:08:00Z</cp:lastPrinted>
  <dcterms:modified xsi:type="dcterms:W3CDTF">2025-10-23T07:56:28Z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E757B1AE817E7EC29266F068F85C4064_43</vt:lpwstr>
  </property>
  <property fmtid="{D5CDD505-2E9C-101B-9397-08002B2CF9AE}" pid="4" name="KSOTemplateDocerSaveRecord">
    <vt:lpwstr>eyJoZGlkIjoiMmY1ZjEyNmIzYTIyOGJhMjNiNzczYzQwM2VhNmJhYzAiLCJ1c2VySWQiOiIyMzQzMjIxMDcifQ==</vt:lpwstr>
  </property>
</Properties>
</file>